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4A0EF" w14:textId="77777777" w:rsidR="00E33F28" w:rsidRDefault="00E33F28">
      <w:bookmarkStart w:id="0" w:name="_GoBack"/>
      <w:bookmarkEnd w:id="0"/>
    </w:p>
    <w:p w14:paraId="769C570B" w14:textId="03D87D2A" w:rsidR="00E33F28" w:rsidRPr="00E33F28" w:rsidRDefault="00E33F28" w:rsidP="00E33F28">
      <w:pPr>
        <w:jc w:val="center"/>
        <w:rPr>
          <w:sz w:val="28"/>
          <w:szCs w:val="28"/>
        </w:rPr>
      </w:pPr>
      <w:r w:rsidRPr="00E33F28">
        <w:rPr>
          <w:sz w:val="28"/>
          <w:szCs w:val="28"/>
        </w:rPr>
        <w:t>Welford</w:t>
      </w:r>
      <w:r w:rsidR="003F2745">
        <w:rPr>
          <w:sz w:val="28"/>
          <w:szCs w:val="28"/>
        </w:rPr>
        <w:t>-</w:t>
      </w:r>
      <w:r w:rsidRPr="00E33F28">
        <w:rPr>
          <w:sz w:val="28"/>
          <w:szCs w:val="28"/>
        </w:rPr>
        <w:t>on</w:t>
      </w:r>
      <w:r w:rsidR="003F2745">
        <w:rPr>
          <w:sz w:val="28"/>
          <w:szCs w:val="28"/>
        </w:rPr>
        <w:t>-</w:t>
      </w:r>
      <w:r w:rsidRPr="00E33F28">
        <w:rPr>
          <w:sz w:val="28"/>
          <w:szCs w:val="28"/>
        </w:rPr>
        <w:t>Avon Parish Council</w:t>
      </w:r>
    </w:p>
    <w:p w14:paraId="385FE551" w14:textId="6967985F" w:rsidR="00E33F28" w:rsidRPr="00DA3D08" w:rsidRDefault="005137BC" w:rsidP="00E33F28">
      <w:pPr>
        <w:jc w:val="center"/>
        <w:rPr>
          <w:b/>
          <w:bCs/>
          <w:sz w:val="28"/>
          <w:szCs w:val="28"/>
        </w:rPr>
      </w:pPr>
      <w:r w:rsidRPr="00DA3D08">
        <w:rPr>
          <w:b/>
          <w:bCs/>
          <w:sz w:val="28"/>
          <w:szCs w:val="28"/>
        </w:rPr>
        <w:t>SITE ALLOCATION</w:t>
      </w:r>
      <w:r w:rsidR="0070164E">
        <w:rPr>
          <w:b/>
          <w:bCs/>
          <w:sz w:val="28"/>
          <w:szCs w:val="28"/>
        </w:rPr>
        <w:t>S</w:t>
      </w:r>
      <w:r w:rsidRPr="00DA3D08">
        <w:rPr>
          <w:b/>
          <w:bCs/>
          <w:sz w:val="28"/>
          <w:szCs w:val="28"/>
        </w:rPr>
        <w:t xml:space="preserve"> PLAN</w:t>
      </w:r>
      <w:r w:rsidR="00E33F28" w:rsidRPr="00DA3D08">
        <w:rPr>
          <w:b/>
          <w:bCs/>
          <w:sz w:val="28"/>
          <w:szCs w:val="28"/>
        </w:rPr>
        <w:t xml:space="preserve"> CONSULTATION RESPONSE</w:t>
      </w:r>
    </w:p>
    <w:p w14:paraId="5E68A035" w14:textId="7052A143" w:rsidR="005137BC" w:rsidRPr="00E33F28" w:rsidRDefault="00E33F28" w:rsidP="00E33F28">
      <w:pPr>
        <w:jc w:val="center"/>
        <w:rPr>
          <w:sz w:val="28"/>
          <w:szCs w:val="28"/>
        </w:rPr>
      </w:pPr>
      <w:r w:rsidRPr="00E33F28">
        <w:rPr>
          <w:sz w:val="28"/>
          <w:szCs w:val="28"/>
        </w:rPr>
        <w:t>1</w:t>
      </w:r>
      <w:r w:rsidR="00994BAF">
        <w:rPr>
          <w:sz w:val="28"/>
          <w:szCs w:val="28"/>
        </w:rPr>
        <w:t>8</w:t>
      </w:r>
      <w:r w:rsidRPr="00E33F28">
        <w:rPr>
          <w:sz w:val="28"/>
          <w:szCs w:val="28"/>
          <w:vertAlign w:val="superscript"/>
        </w:rPr>
        <w:t>th</w:t>
      </w:r>
      <w:r w:rsidRPr="00E33F28">
        <w:rPr>
          <w:sz w:val="28"/>
          <w:szCs w:val="28"/>
        </w:rPr>
        <w:t xml:space="preserve"> September 2019</w:t>
      </w:r>
    </w:p>
    <w:p w14:paraId="251B20A2" w14:textId="77777777" w:rsidR="00E33F28" w:rsidRDefault="00E33F28"/>
    <w:p w14:paraId="3E659B93" w14:textId="1E4D4E5E" w:rsidR="00773A6E" w:rsidRDefault="00773A6E" w:rsidP="00FA71BA">
      <w:pPr>
        <w:rPr>
          <w:rFonts w:cstheme="minorHAnsi"/>
        </w:rPr>
      </w:pPr>
      <w:r w:rsidRPr="003E1375">
        <w:rPr>
          <w:rFonts w:cstheme="minorHAnsi"/>
        </w:rPr>
        <w:t>Welford-on-Avon Parish Council</w:t>
      </w:r>
      <w:r w:rsidR="00E33F28" w:rsidRPr="003E1375">
        <w:rPr>
          <w:rFonts w:cstheme="minorHAnsi"/>
        </w:rPr>
        <w:t>,</w:t>
      </w:r>
      <w:r w:rsidRPr="003E1375">
        <w:rPr>
          <w:rFonts w:cstheme="minorHAnsi"/>
        </w:rPr>
        <w:t xml:space="preserve"> </w:t>
      </w:r>
      <w:r w:rsidR="00E33F28" w:rsidRPr="003E1375">
        <w:rPr>
          <w:rFonts w:cstheme="minorHAnsi"/>
        </w:rPr>
        <w:t xml:space="preserve">in co-operation with a number of residents, </w:t>
      </w:r>
      <w:r w:rsidR="00AA59C0" w:rsidRPr="003E1375">
        <w:rPr>
          <w:rFonts w:cstheme="minorHAnsi"/>
        </w:rPr>
        <w:t>ha</w:t>
      </w:r>
      <w:r w:rsidRPr="003E1375">
        <w:rPr>
          <w:rFonts w:cstheme="minorHAnsi"/>
        </w:rPr>
        <w:t>s reviewed the new Sit</w:t>
      </w:r>
      <w:r w:rsidR="00D75684" w:rsidRPr="003E1375">
        <w:rPr>
          <w:rFonts w:cstheme="minorHAnsi"/>
        </w:rPr>
        <w:t>e</w:t>
      </w:r>
      <w:r w:rsidRPr="003E1375">
        <w:rPr>
          <w:rFonts w:cstheme="minorHAnsi"/>
        </w:rPr>
        <w:t xml:space="preserve"> Allocations </w:t>
      </w:r>
      <w:r w:rsidR="00D75684" w:rsidRPr="003E1375">
        <w:rPr>
          <w:rFonts w:cstheme="minorHAnsi"/>
        </w:rPr>
        <w:t>P</w:t>
      </w:r>
      <w:r w:rsidRPr="003E1375">
        <w:rPr>
          <w:rFonts w:cstheme="minorHAnsi"/>
        </w:rPr>
        <w:t>lan</w:t>
      </w:r>
      <w:r w:rsidR="00D75684" w:rsidRPr="003E1375">
        <w:rPr>
          <w:rFonts w:cstheme="minorHAnsi"/>
        </w:rPr>
        <w:t xml:space="preserve"> </w:t>
      </w:r>
      <w:r w:rsidR="007F0B97" w:rsidRPr="003E1375">
        <w:rPr>
          <w:rFonts w:cstheme="minorHAnsi"/>
        </w:rPr>
        <w:t>(the ’</w:t>
      </w:r>
      <w:r w:rsidR="00DA3D08" w:rsidRPr="003E1375">
        <w:rPr>
          <w:rFonts w:cstheme="minorHAnsi"/>
        </w:rPr>
        <w:t>SAP</w:t>
      </w:r>
      <w:r w:rsidR="007F0B97" w:rsidRPr="003E1375">
        <w:rPr>
          <w:rFonts w:cstheme="minorHAnsi"/>
        </w:rPr>
        <w:t>’)</w:t>
      </w:r>
      <w:r w:rsidRPr="003E1375">
        <w:rPr>
          <w:rFonts w:cstheme="minorHAnsi"/>
        </w:rPr>
        <w:t xml:space="preserve"> and considers the </w:t>
      </w:r>
      <w:r w:rsidR="00DA3D08" w:rsidRPr="003E1375">
        <w:rPr>
          <w:rFonts w:cstheme="minorHAnsi"/>
        </w:rPr>
        <w:t>SAP</w:t>
      </w:r>
      <w:r w:rsidRPr="003E1375">
        <w:rPr>
          <w:rFonts w:cstheme="minorHAnsi"/>
        </w:rPr>
        <w:t xml:space="preserve"> to be flawed in many ways</w:t>
      </w:r>
      <w:r w:rsidR="007F0B97" w:rsidRPr="003E1375">
        <w:rPr>
          <w:rFonts w:cstheme="minorHAnsi"/>
        </w:rPr>
        <w:t xml:space="preserve"> </w:t>
      </w:r>
      <w:r w:rsidRPr="003E1375">
        <w:rPr>
          <w:rFonts w:cstheme="minorHAnsi"/>
        </w:rPr>
        <w:t xml:space="preserve">especially regarding the lack of consultation over </w:t>
      </w:r>
      <w:r w:rsidR="007F0B97" w:rsidRPr="003E1375">
        <w:rPr>
          <w:rFonts w:cstheme="minorHAnsi"/>
        </w:rPr>
        <w:t xml:space="preserve">the choice of </w:t>
      </w:r>
      <w:r w:rsidRPr="003E1375">
        <w:rPr>
          <w:rFonts w:cstheme="minorHAnsi"/>
        </w:rPr>
        <w:t xml:space="preserve">preferred sites and the failure to even try to identify any sites within existing </w:t>
      </w:r>
      <w:r w:rsidR="002C50C9" w:rsidRPr="003E1375">
        <w:rPr>
          <w:rFonts w:cstheme="minorHAnsi"/>
        </w:rPr>
        <w:t>B</w:t>
      </w:r>
      <w:r w:rsidRPr="003E1375">
        <w:rPr>
          <w:rFonts w:cstheme="minorHAnsi"/>
        </w:rPr>
        <w:t xml:space="preserve">uilt up </w:t>
      </w:r>
      <w:r w:rsidR="002C50C9" w:rsidRPr="003E1375">
        <w:rPr>
          <w:rFonts w:cstheme="minorHAnsi"/>
        </w:rPr>
        <w:t>A</w:t>
      </w:r>
      <w:r w:rsidRPr="003E1375">
        <w:rPr>
          <w:rFonts w:cstheme="minorHAnsi"/>
        </w:rPr>
        <w:t xml:space="preserve">rea </w:t>
      </w:r>
      <w:r w:rsidR="002C50C9" w:rsidRPr="003E1375">
        <w:rPr>
          <w:rFonts w:cstheme="minorHAnsi"/>
        </w:rPr>
        <w:t>B</w:t>
      </w:r>
      <w:r w:rsidRPr="003E1375">
        <w:rPr>
          <w:rFonts w:cstheme="minorHAnsi"/>
        </w:rPr>
        <w:t xml:space="preserve">oundaries. </w:t>
      </w:r>
    </w:p>
    <w:p w14:paraId="16C424A6" w14:textId="7003DA78" w:rsidR="00CE7123" w:rsidRPr="003E1375" w:rsidRDefault="00CE7123" w:rsidP="00FA71BA">
      <w:pPr>
        <w:rPr>
          <w:rFonts w:cstheme="minorHAnsi"/>
        </w:rPr>
      </w:pPr>
      <w:r>
        <w:rPr>
          <w:rFonts w:cstheme="minorHAnsi"/>
        </w:rPr>
        <w:t>All four allocated sites in the SAP are outside the Built-up Area Boundary of the ‘Made’ Welford on Avon Neighbourhood Development Plan and therefore should be resisted.</w:t>
      </w:r>
    </w:p>
    <w:p w14:paraId="088088DB" w14:textId="58D1C495" w:rsidR="00773A6E" w:rsidRPr="003E1375" w:rsidRDefault="00773A6E" w:rsidP="00FA71BA">
      <w:pPr>
        <w:rPr>
          <w:rFonts w:cstheme="minorHAnsi"/>
        </w:rPr>
      </w:pPr>
      <w:r w:rsidRPr="003E1375">
        <w:rPr>
          <w:rFonts w:cstheme="minorHAnsi"/>
        </w:rPr>
        <w:t xml:space="preserve">The </w:t>
      </w:r>
      <w:r w:rsidR="002C50C9" w:rsidRPr="003E1375">
        <w:rPr>
          <w:rFonts w:cstheme="minorHAnsi"/>
        </w:rPr>
        <w:t xml:space="preserve">following detailed </w:t>
      </w:r>
      <w:r w:rsidRPr="003E1375">
        <w:rPr>
          <w:rFonts w:cstheme="minorHAnsi"/>
        </w:rPr>
        <w:t xml:space="preserve">comments are structured against </w:t>
      </w:r>
      <w:r w:rsidR="00AA59C0" w:rsidRPr="003E1375">
        <w:rPr>
          <w:rFonts w:cstheme="minorHAnsi"/>
        </w:rPr>
        <w:t xml:space="preserve">1) Duty to Co-operate; 2) </w:t>
      </w:r>
      <w:r w:rsidRPr="003E1375">
        <w:rPr>
          <w:rFonts w:cstheme="minorHAnsi"/>
        </w:rPr>
        <w:t xml:space="preserve">National Policy and Sustainability; </w:t>
      </w:r>
      <w:r w:rsidR="00AA59C0" w:rsidRPr="003E1375">
        <w:rPr>
          <w:rFonts w:cstheme="minorHAnsi"/>
        </w:rPr>
        <w:t xml:space="preserve">3) </w:t>
      </w:r>
      <w:r w:rsidRPr="003E1375">
        <w:rPr>
          <w:rFonts w:cstheme="minorHAnsi"/>
        </w:rPr>
        <w:t xml:space="preserve">Housing Distribution and </w:t>
      </w:r>
      <w:r w:rsidR="003F6474" w:rsidRPr="003E1375">
        <w:rPr>
          <w:rFonts w:cstheme="minorHAnsi"/>
        </w:rPr>
        <w:t>A</w:t>
      </w:r>
      <w:r w:rsidRPr="003E1375">
        <w:rPr>
          <w:rFonts w:cstheme="minorHAnsi"/>
        </w:rPr>
        <w:t xml:space="preserve">llocations; </w:t>
      </w:r>
      <w:r w:rsidR="00AA59C0" w:rsidRPr="003E1375">
        <w:rPr>
          <w:rFonts w:cstheme="minorHAnsi"/>
        </w:rPr>
        <w:t xml:space="preserve">4) </w:t>
      </w:r>
      <w:r w:rsidR="003F6474" w:rsidRPr="003E1375">
        <w:rPr>
          <w:rFonts w:cstheme="minorHAnsi"/>
        </w:rPr>
        <w:t>L</w:t>
      </w:r>
      <w:r w:rsidRPr="003E1375">
        <w:rPr>
          <w:rFonts w:cstheme="minorHAnsi"/>
        </w:rPr>
        <w:t xml:space="preserve">and </w:t>
      </w:r>
      <w:r w:rsidR="003F6474" w:rsidRPr="003E1375">
        <w:rPr>
          <w:rFonts w:cstheme="minorHAnsi"/>
        </w:rPr>
        <w:t>U</w:t>
      </w:r>
      <w:r w:rsidRPr="003E1375">
        <w:rPr>
          <w:rFonts w:cstheme="minorHAnsi"/>
        </w:rPr>
        <w:t xml:space="preserve">se; </w:t>
      </w:r>
      <w:r w:rsidR="00AA59C0" w:rsidRPr="003E1375">
        <w:rPr>
          <w:rFonts w:cstheme="minorHAnsi"/>
        </w:rPr>
        <w:t xml:space="preserve">5) </w:t>
      </w:r>
      <w:r w:rsidRPr="003E1375">
        <w:rPr>
          <w:rFonts w:cstheme="minorHAnsi"/>
        </w:rPr>
        <w:t>Infrastructure and Highways</w:t>
      </w:r>
      <w:r w:rsidR="00AA59C0" w:rsidRPr="003E1375">
        <w:rPr>
          <w:rFonts w:cstheme="minorHAnsi"/>
        </w:rPr>
        <w:t xml:space="preserve"> and 6) Site </w:t>
      </w:r>
      <w:r w:rsidR="003F6474" w:rsidRPr="003E1375">
        <w:rPr>
          <w:rFonts w:cstheme="minorHAnsi"/>
        </w:rPr>
        <w:t>S</w:t>
      </w:r>
      <w:r w:rsidR="00AA59C0" w:rsidRPr="003E1375">
        <w:rPr>
          <w:rFonts w:cstheme="minorHAnsi"/>
        </w:rPr>
        <w:t>pecific comments.</w:t>
      </w:r>
      <w:r w:rsidRPr="003E1375">
        <w:rPr>
          <w:rFonts w:cstheme="minorHAnsi"/>
        </w:rPr>
        <w:t xml:space="preserve"> </w:t>
      </w:r>
    </w:p>
    <w:p w14:paraId="4AE785FD" w14:textId="32613184" w:rsidR="00773A6E" w:rsidRPr="003E1375" w:rsidRDefault="00773A6E">
      <w:pPr>
        <w:rPr>
          <w:rFonts w:cstheme="minorHAnsi"/>
        </w:rPr>
      </w:pPr>
    </w:p>
    <w:p w14:paraId="04E35CEF" w14:textId="6A087881" w:rsidR="005137BC" w:rsidRPr="003E1375" w:rsidRDefault="003F2745" w:rsidP="003F2745">
      <w:pPr>
        <w:pStyle w:val="ListParagraph"/>
        <w:numPr>
          <w:ilvl w:val="0"/>
          <w:numId w:val="4"/>
        </w:numPr>
        <w:rPr>
          <w:rFonts w:asciiTheme="minorHAnsi" w:hAnsiTheme="minorHAnsi" w:cstheme="minorHAnsi"/>
          <w:b/>
          <w:bCs/>
          <w:sz w:val="28"/>
          <w:szCs w:val="28"/>
        </w:rPr>
      </w:pPr>
      <w:r w:rsidRPr="003E1375">
        <w:rPr>
          <w:rFonts w:asciiTheme="minorHAnsi" w:hAnsiTheme="minorHAnsi" w:cstheme="minorHAnsi"/>
          <w:b/>
          <w:bCs/>
          <w:sz w:val="28"/>
          <w:szCs w:val="28"/>
        </w:rPr>
        <w:t>Duty to Co-operate</w:t>
      </w:r>
    </w:p>
    <w:p w14:paraId="2D16975F" w14:textId="77777777" w:rsidR="00413968" w:rsidRPr="008A13E5" w:rsidRDefault="00237D58" w:rsidP="00237D58">
      <w:pPr>
        <w:pStyle w:val="yiv8428220429msonormal"/>
        <w:shd w:val="clear" w:color="auto" w:fill="FFFFFF"/>
        <w:rPr>
          <w:rFonts w:asciiTheme="minorHAnsi" w:hAnsiTheme="minorHAnsi" w:cstheme="minorHAnsi"/>
          <w:sz w:val="22"/>
          <w:szCs w:val="22"/>
        </w:rPr>
      </w:pPr>
      <w:r w:rsidRPr="008A13E5">
        <w:rPr>
          <w:rFonts w:asciiTheme="minorHAnsi" w:hAnsiTheme="minorHAnsi" w:cstheme="minorHAnsi"/>
          <w:color w:val="1D2228"/>
          <w:sz w:val="22"/>
          <w:szCs w:val="22"/>
        </w:rPr>
        <w:t xml:space="preserve">Although Stratford District Council have conducted a reasonable consultation process as required under Regulation 22 there has been a significant omission in the process in that the selection of preferred sites was </w:t>
      </w:r>
      <w:r w:rsidRPr="008A13E5">
        <w:rPr>
          <w:rFonts w:asciiTheme="minorHAnsi" w:hAnsiTheme="minorHAnsi" w:cstheme="minorHAnsi"/>
          <w:sz w:val="22"/>
          <w:szCs w:val="22"/>
        </w:rPr>
        <w:t xml:space="preserve">not offered for consultation. </w:t>
      </w:r>
    </w:p>
    <w:p w14:paraId="5F3D9FAA" w14:textId="734283C0" w:rsidR="00237D58" w:rsidRPr="008A13E5" w:rsidRDefault="00237D58" w:rsidP="00237D58">
      <w:pPr>
        <w:pStyle w:val="yiv8428220429msonormal"/>
        <w:shd w:val="clear" w:color="auto" w:fill="FFFFFF"/>
        <w:rPr>
          <w:rFonts w:asciiTheme="minorHAnsi" w:hAnsiTheme="minorHAnsi" w:cstheme="minorHAnsi"/>
          <w:i/>
          <w:iCs/>
          <w:sz w:val="22"/>
          <w:szCs w:val="22"/>
        </w:rPr>
      </w:pPr>
      <w:r w:rsidRPr="008A13E5">
        <w:rPr>
          <w:rFonts w:asciiTheme="minorHAnsi" w:hAnsiTheme="minorHAnsi" w:cstheme="minorHAnsi"/>
          <w:sz w:val="22"/>
          <w:szCs w:val="22"/>
        </w:rPr>
        <w:t xml:space="preserve">This omission is outlined in the </w:t>
      </w:r>
      <w:r w:rsidR="00DA3D08" w:rsidRPr="008A13E5">
        <w:rPr>
          <w:rFonts w:asciiTheme="minorHAnsi" w:hAnsiTheme="minorHAnsi" w:cstheme="minorHAnsi"/>
          <w:sz w:val="22"/>
          <w:szCs w:val="22"/>
        </w:rPr>
        <w:t>SAP</w:t>
      </w:r>
      <w:r w:rsidRPr="008A13E5">
        <w:rPr>
          <w:rFonts w:asciiTheme="minorHAnsi" w:hAnsiTheme="minorHAnsi" w:cstheme="minorHAnsi"/>
          <w:sz w:val="22"/>
          <w:szCs w:val="22"/>
        </w:rPr>
        <w:t xml:space="preserve"> on page 4. </w:t>
      </w:r>
      <w:r w:rsidRPr="008A13E5">
        <w:rPr>
          <w:rFonts w:asciiTheme="minorHAnsi" w:hAnsiTheme="minorHAnsi" w:cstheme="minorHAnsi"/>
          <w:i/>
          <w:iCs/>
          <w:sz w:val="22"/>
          <w:szCs w:val="22"/>
        </w:rPr>
        <w:t>“The Council has not consulted on ‘preferred options’ and has moved straight from scoping and initial options to the proposed submission stage. This is because the Site Allocations Plan is a second-tier plan and does not set strategy or requirements (these have been established by the Core Strategy) but provides further detail to the approach set out in the adopted Core Strategy”.</w:t>
      </w:r>
    </w:p>
    <w:p w14:paraId="10608CB2" w14:textId="56B9E536" w:rsidR="00413968" w:rsidRPr="008A13E5" w:rsidRDefault="00413968" w:rsidP="00237D58">
      <w:pPr>
        <w:pStyle w:val="yiv8428220429msonormal"/>
        <w:shd w:val="clear" w:color="auto" w:fill="FFFFFF"/>
        <w:rPr>
          <w:rFonts w:asciiTheme="minorHAnsi" w:hAnsiTheme="minorHAnsi" w:cstheme="minorHAnsi"/>
          <w:sz w:val="22"/>
          <w:szCs w:val="22"/>
        </w:rPr>
      </w:pPr>
      <w:r w:rsidRPr="008A13E5">
        <w:rPr>
          <w:rFonts w:asciiTheme="minorHAnsi" w:hAnsiTheme="minorHAnsi" w:cstheme="minorHAnsi"/>
          <w:sz w:val="22"/>
          <w:szCs w:val="22"/>
        </w:rPr>
        <w:t xml:space="preserve">A Preferred Options </w:t>
      </w:r>
      <w:r w:rsidRPr="008A13E5">
        <w:rPr>
          <w:rFonts w:asciiTheme="minorHAnsi" w:hAnsiTheme="minorHAnsi" w:cstheme="minorHAnsi"/>
          <w:color w:val="1D2228"/>
          <w:sz w:val="22"/>
          <w:szCs w:val="22"/>
        </w:rPr>
        <w:t xml:space="preserve">consultation would have allowed the public to comment on which of the SHLAA sites would </w:t>
      </w:r>
      <w:r w:rsidRPr="008A13E5">
        <w:rPr>
          <w:rFonts w:asciiTheme="minorHAnsi" w:hAnsiTheme="minorHAnsi" w:cstheme="minorHAnsi"/>
          <w:sz w:val="22"/>
          <w:szCs w:val="22"/>
        </w:rPr>
        <w:t>be allocated as reserve sites or perhaps, how that decision would be made.</w:t>
      </w:r>
    </w:p>
    <w:p w14:paraId="24B61725" w14:textId="6207509E" w:rsidR="00237D58" w:rsidRPr="008A13E5" w:rsidRDefault="00237D58" w:rsidP="00237D58">
      <w:pPr>
        <w:pStyle w:val="yiv8428220429msonormal"/>
        <w:shd w:val="clear" w:color="auto" w:fill="FFFFFF"/>
        <w:rPr>
          <w:rFonts w:asciiTheme="minorHAnsi" w:hAnsiTheme="minorHAnsi" w:cstheme="minorHAnsi"/>
          <w:sz w:val="22"/>
          <w:szCs w:val="22"/>
        </w:rPr>
      </w:pPr>
      <w:r w:rsidRPr="008A13E5">
        <w:rPr>
          <w:rFonts w:asciiTheme="minorHAnsi" w:hAnsiTheme="minorHAnsi" w:cstheme="minorHAnsi"/>
          <w:sz w:val="22"/>
          <w:szCs w:val="22"/>
        </w:rPr>
        <w:t>As our comments will show</w:t>
      </w:r>
      <w:r w:rsidR="00B44746" w:rsidRPr="008A13E5">
        <w:rPr>
          <w:rFonts w:asciiTheme="minorHAnsi" w:hAnsiTheme="minorHAnsi" w:cstheme="minorHAnsi"/>
          <w:sz w:val="22"/>
          <w:szCs w:val="22"/>
        </w:rPr>
        <w:t>,</w:t>
      </w:r>
      <w:r w:rsidRPr="008A13E5">
        <w:rPr>
          <w:rFonts w:asciiTheme="minorHAnsi" w:hAnsiTheme="minorHAnsi" w:cstheme="minorHAnsi"/>
          <w:sz w:val="22"/>
          <w:szCs w:val="22"/>
        </w:rPr>
        <w:t xml:space="preserve"> the choice of reserved sites for Welford i</w:t>
      </w:r>
      <w:r w:rsidR="00413968" w:rsidRPr="008A13E5">
        <w:rPr>
          <w:rFonts w:asciiTheme="minorHAnsi" w:hAnsiTheme="minorHAnsi" w:cstheme="minorHAnsi"/>
          <w:sz w:val="22"/>
          <w:szCs w:val="22"/>
        </w:rPr>
        <w:t>s</w:t>
      </w:r>
      <w:r w:rsidRPr="008A13E5">
        <w:rPr>
          <w:rFonts w:asciiTheme="minorHAnsi" w:hAnsiTheme="minorHAnsi" w:cstheme="minorHAnsi"/>
          <w:sz w:val="22"/>
          <w:szCs w:val="22"/>
        </w:rPr>
        <w:t xml:space="preserve"> flawed and as such local consultation could have corrected some of these errors.</w:t>
      </w:r>
    </w:p>
    <w:p w14:paraId="0FCD75C2" w14:textId="2A4CF4A8" w:rsidR="00237D58" w:rsidRPr="008A13E5" w:rsidRDefault="00237D58" w:rsidP="00237D58">
      <w:pPr>
        <w:pStyle w:val="yiv8428220429msonormal"/>
        <w:shd w:val="clear" w:color="auto" w:fill="FFFFFF"/>
        <w:rPr>
          <w:rFonts w:asciiTheme="minorHAnsi" w:hAnsiTheme="minorHAnsi" w:cstheme="minorHAnsi"/>
          <w:color w:val="1D2228"/>
          <w:sz w:val="22"/>
          <w:szCs w:val="22"/>
        </w:rPr>
      </w:pPr>
      <w:r w:rsidRPr="008A13E5">
        <w:rPr>
          <w:rFonts w:asciiTheme="minorHAnsi" w:hAnsiTheme="minorHAnsi" w:cstheme="minorHAnsi"/>
          <w:sz w:val="22"/>
          <w:szCs w:val="22"/>
        </w:rPr>
        <w:t xml:space="preserve">The justification that this is a second-tier plan </w:t>
      </w:r>
      <w:r w:rsidR="00413968" w:rsidRPr="008A13E5">
        <w:rPr>
          <w:rFonts w:asciiTheme="minorHAnsi" w:hAnsiTheme="minorHAnsi" w:cstheme="minorHAnsi"/>
          <w:sz w:val="22"/>
          <w:szCs w:val="22"/>
        </w:rPr>
        <w:t>isn’t</w:t>
      </w:r>
      <w:r w:rsidRPr="008A13E5">
        <w:rPr>
          <w:rFonts w:asciiTheme="minorHAnsi" w:hAnsiTheme="minorHAnsi" w:cstheme="minorHAnsi"/>
          <w:sz w:val="22"/>
          <w:szCs w:val="22"/>
        </w:rPr>
        <w:t xml:space="preserve"> </w:t>
      </w:r>
      <w:r w:rsidR="00413968" w:rsidRPr="008A13E5">
        <w:rPr>
          <w:rFonts w:asciiTheme="minorHAnsi" w:hAnsiTheme="minorHAnsi" w:cstheme="minorHAnsi"/>
          <w:sz w:val="22"/>
          <w:szCs w:val="22"/>
        </w:rPr>
        <w:t xml:space="preserve">right, considering the impact the Plan has on Core Strategy Policy CS15 - housing distribution and CS.16 - housing </w:t>
      </w:r>
      <w:r w:rsidR="00413968" w:rsidRPr="008A13E5">
        <w:rPr>
          <w:rFonts w:asciiTheme="minorHAnsi" w:hAnsiTheme="minorHAnsi" w:cstheme="minorHAnsi"/>
          <w:color w:val="1D2228"/>
          <w:sz w:val="22"/>
          <w:szCs w:val="22"/>
        </w:rPr>
        <w:t>numbers allocated to Local Service Villages (LSV)</w:t>
      </w:r>
      <w:r w:rsidRPr="008A13E5">
        <w:rPr>
          <w:rFonts w:asciiTheme="minorHAnsi" w:hAnsiTheme="minorHAnsi" w:cstheme="minorHAnsi"/>
          <w:color w:val="1D2228"/>
          <w:sz w:val="22"/>
          <w:szCs w:val="22"/>
        </w:rPr>
        <w:t xml:space="preserve">.  </w:t>
      </w:r>
    </w:p>
    <w:p w14:paraId="175DA639" w14:textId="64A3DBAC" w:rsidR="00DA3D08" w:rsidRPr="008A13E5" w:rsidRDefault="00DA3D08" w:rsidP="00237D58">
      <w:pPr>
        <w:pStyle w:val="yiv8428220429msonormal"/>
        <w:shd w:val="clear" w:color="auto" w:fill="FFFFFF"/>
        <w:rPr>
          <w:rFonts w:asciiTheme="minorHAnsi" w:hAnsiTheme="minorHAnsi" w:cstheme="minorHAnsi"/>
          <w:noProof/>
          <w:sz w:val="22"/>
          <w:szCs w:val="22"/>
        </w:rPr>
      </w:pPr>
      <w:r w:rsidRPr="008A13E5">
        <w:rPr>
          <w:rFonts w:asciiTheme="minorHAnsi" w:hAnsiTheme="minorHAnsi" w:cstheme="minorHAnsi"/>
          <w:noProof/>
          <w:sz w:val="22"/>
          <w:szCs w:val="22"/>
        </w:rPr>
        <w:t>This plays down the significance of the SAP yet the SAP is the first document to identify specific sites for villages</w:t>
      </w:r>
      <w:r w:rsidR="00B44746" w:rsidRPr="008A13E5">
        <w:rPr>
          <w:rFonts w:asciiTheme="minorHAnsi" w:hAnsiTheme="minorHAnsi" w:cstheme="minorHAnsi"/>
          <w:noProof/>
          <w:sz w:val="22"/>
          <w:szCs w:val="22"/>
        </w:rPr>
        <w:t>.</w:t>
      </w:r>
      <w:r w:rsidRPr="008A13E5">
        <w:rPr>
          <w:rFonts w:asciiTheme="minorHAnsi" w:hAnsiTheme="minorHAnsi" w:cstheme="minorHAnsi"/>
          <w:noProof/>
          <w:sz w:val="22"/>
          <w:szCs w:val="22"/>
        </w:rPr>
        <w:t xml:space="preserve"> </w:t>
      </w:r>
      <w:r w:rsidR="00B44746" w:rsidRPr="008A13E5">
        <w:rPr>
          <w:rFonts w:asciiTheme="minorHAnsi" w:hAnsiTheme="minorHAnsi" w:cstheme="minorHAnsi"/>
          <w:noProof/>
          <w:sz w:val="22"/>
          <w:szCs w:val="22"/>
        </w:rPr>
        <w:t xml:space="preserve">It </w:t>
      </w:r>
      <w:r w:rsidR="003E1375" w:rsidRPr="008A13E5">
        <w:rPr>
          <w:rFonts w:asciiTheme="minorHAnsi" w:hAnsiTheme="minorHAnsi" w:cstheme="minorHAnsi"/>
          <w:noProof/>
          <w:sz w:val="22"/>
          <w:szCs w:val="22"/>
        </w:rPr>
        <w:t>h</w:t>
      </w:r>
      <w:r w:rsidRPr="008A13E5">
        <w:rPr>
          <w:rFonts w:asciiTheme="minorHAnsi" w:hAnsiTheme="minorHAnsi" w:cstheme="minorHAnsi"/>
          <w:noProof/>
          <w:sz w:val="22"/>
          <w:szCs w:val="22"/>
        </w:rPr>
        <w:t>as a distribution stategy that is far more detailed than the Core Strategy</w:t>
      </w:r>
      <w:r w:rsidR="00B44746" w:rsidRPr="008A13E5">
        <w:rPr>
          <w:rFonts w:asciiTheme="minorHAnsi" w:hAnsiTheme="minorHAnsi" w:cstheme="minorHAnsi"/>
          <w:noProof/>
          <w:sz w:val="22"/>
          <w:szCs w:val="22"/>
        </w:rPr>
        <w:t xml:space="preserve"> and</w:t>
      </w:r>
      <w:r w:rsidRPr="008A13E5">
        <w:rPr>
          <w:rFonts w:asciiTheme="minorHAnsi" w:hAnsiTheme="minorHAnsi" w:cstheme="minorHAnsi"/>
          <w:noProof/>
          <w:sz w:val="22"/>
          <w:szCs w:val="22"/>
        </w:rPr>
        <w:t xml:space="preserve"> is a matter that most people would have assumed merited consultation.</w:t>
      </w:r>
    </w:p>
    <w:p w14:paraId="08C041C5" w14:textId="42DE1752" w:rsidR="003E1375" w:rsidRPr="008A13E5" w:rsidRDefault="003E1375" w:rsidP="00237D58">
      <w:pPr>
        <w:pStyle w:val="yiv8428220429msonormal"/>
        <w:shd w:val="clear" w:color="auto" w:fill="FFFFFF"/>
        <w:rPr>
          <w:rFonts w:asciiTheme="minorHAnsi" w:hAnsiTheme="minorHAnsi" w:cstheme="minorHAnsi"/>
          <w:color w:val="1D2228"/>
          <w:sz w:val="22"/>
          <w:szCs w:val="22"/>
        </w:rPr>
      </w:pPr>
      <w:r w:rsidRPr="008A13E5">
        <w:rPr>
          <w:rFonts w:asciiTheme="minorHAnsi" w:hAnsiTheme="minorHAnsi" w:cstheme="minorHAnsi"/>
          <w:color w:val="1D2228"/>
          <w:sz w:val="22"/>
          <w:szCs w:val="22"/>
        </w:rPr>
        <w:t>In LSV’s where the quota has been reached, this is in effect further distribution over and above that allowed by the Core Strategy Policy CS.15.</w:t>
      </w:r>
    </w:p>
    <w:p w14:paraId="582B3DA9" w14:textId="4FFACAC6" w:rsidR="00237D58" w:rsidRPr="008A13E5" w:rsidRDefault="00892CB8" w:rsidP="00237D58">
      <w:pPr>
        <w:pStyle w:val="yiv8428220429msonormal"/>
        <w:shd w:val="clear" w:color="auto" w:fill="FFFFFF"/>
        <w:rPr>
          <w:rFonts w:asciiTheme="minorHAnsi" w:hAnsiTheme="minorHAnsi" w:cstheme="minorHAnsi"/>
          <w:color w:val="1D2228"/>
          <w:sz w:val="22"/>
          <w:szCs w:val="22"/>
        </w:rPr>
      </w:pPr>
      <w:r w:rsidRPr="008A13E5">
        <w:rPr>
          <w:rFonts w:asciiTheme="minorHAnsi" w:hAnsiTheme="minorHAnsi" w:cstheme="minorHAnsi"/>
          <w:color w:val="1D2228"/>
          <w:sz w:val="22"/>
          <w:szCs w:val="22"/>
        </w:rPr>
        <w:t>During the development of t</w:t>
      </w:r>
      <w:r w:rsidR="00237D58" w:rsidRPr="008A13E5">
        <w:rPr>
          <w:rFonts w:asciiTheme="minorHAnsi" w:hAnsiTheme="minorHAnsi" w:cstheme="minorHAnsi"/>
          <w:color w:val="1D2228"/>
          <w:sz w:val="22"/>
          <w:szCs w:val="22"/>
        </w:rPr>
        <w:t xml:space="preserve">he Core Strategy </w:t>
      </w:r>
      <w:r w:rsidRPr="008A13E5">
        <w:rPr>
          <w:rFonts w:asciiTheme="minorHAnsi" w:hAnsiTheme="minorHAnsi" w:cstheme="minorHAnsi"/>
          <w:color w:val="1D2228"/>
          <w:sz w:val="22"/>
          <w:szCs w:val="22"/>
        </w:rPr>
        <w:t xml:space="preserve">SDC </w:t>
      </w:r>
      <w:r w:rsidR="00237D58" w:rsidRPr="008A13E5">
        <w:rPr>
          <w:rFonts w:asciiTheme="minorHAnsi" w:hAnsiTheme="minorHAnsi" w:cstheme="minorHAnsi"/>
          <w:color w:val="1D2228"/>
          <w:sz w:val="22"/>
          <w:szCs w:val="22"/>
        </w:rPr>
        <w:t xml:space="preserve">consulted on </w:t>
      </w:r>
      <w:r w:rsidRPr="008A13E5">
        <w:rPr>
          <w:rFonts w:asciiTheme="minorHAnsi" w:hAnsiTheme="minorHAnsi" w:cstheme="minorHAnsi"/>
          <w:color w:val="1D2228"/>
          <w:sz w:val="22"/>
          <w:szCs w:val="22"/>
        </w:rPr>
        <w:t xml:space="preserve">distribution </w:t>
      </w:r>
      <w:r w:rsidR="00237D58" w:rsidRPr="008A13E5">
        <w:rPr>
          <w:rFonts w:asciiTheme="minorHAnsi" w:hAnsiTheme="minorHAnsi" w:cstheme="minorHAnsi"/>
          <w:color w:val="1D2228"/>
          <w:sz w:val="22"/>
          <w:szCs w:val="22"/>
        </w:rPr>
        <w:t>options – should they build in Stratford, Main Rural Centres, LSV’s or a new settlement?  This produced the decision for a dispersal strategy</w:t>
      </w:r>
      <w:r w:rsidRPr="008A13E5">
        <w:rPr>
          <w:rFonts w:asciiTheme="minorHAnsi" w:hAnsiTheme="minorHAnsi" w:cstheme="minorHAnsi"/>
          <w:color w:val="1D2228"/>
          <w:sz w:val="22"/>
          <w:szCs w:val="22"/>
        </w:rPr>
        <w:t xml:space="preserve"> as outlined below:</w:t>
      </w:r>
    </w:p>
    <w:p w14:paraId="13645176" w14:textId="77777777" w:rsidR="00237D58" w:rsidRPr="00CC0028" w:rsidRDefault="00CF0E55" w:rsidP="00237D58">
      <w:pPr>
        <w:pStyle w:val="yiv8428220429msonormal"/>
        <w:shd w:val="clear" w:color="auto" w:fill="FFFFFF"/>
        <w:rPr>
          <w:rFonts w:asciiTheme="minorHAnsi" w:hAnsiTheme="minorHAnsi" w:cstheme="minorHAnsi"/>
          <w:color w:val="1D2228"/>
          <w:sz w:val="22"/>
          <w:szCs w:val="22"/>
        </w:rPr>
      </w:pPr>
      <w:hyperlink r:id="rId7" w:tgtFrame="_blank" w:history="1">
        <w:r w:rsidR="00237D58" w:rsidRPr="00CC0028">
          <w:rPr>
            <w:rStyle w:val="Hyperlink"/>
            <w:rFonts w:asciiTheme="minorHAnsi" w:hAnsiTheme="minorHAnsi" w:cstheme="minorHAnsi"/>
            <w:sz w:val="22"/>
            <w:szCs w:val="22"/>
          </w:rPr>
          <w:t>https://www.stratford.gov.uk/doc/205866/name/ED12%20Focused%20Consultation%202011%202031%20Housing%20Requirement%20and%20Strategic%20Site%20Options%20Feb%202014.pdf</w:t>
        </w:r>
      </w:hyperlink>
    </w:p>
    <w:p w14:paraId="0A95E0A8" w14:textId="05E6E47F" w:rsidR="00237D58" w:rsidRDefault="00892CB8" w:rsidP="00237D58">
      <w:pPr>
        <w:pStyle w:val="yiv8428220429msonormal"/>
        <w:shd w:val="clear" w:color="auto" w:fill="FFFFFF"/>
        <w:rPr>
          <w:rFonts w:asciiTheme="minorHAnsi" w:hAnsiTheme="minorHAnsi" w:cstheme="minorHAnsi"/>
          <w:color w:val="1D2228"/>
          <w:sz w:val="22"/>
          <w:szCs w:val="22"/>
        </w:rPr>
      </w:pPr>
      <w:r w:rsidRPr="00CC0028">
        <w:rPr>
          <w:rFonts w:asciiTheme="minorHAnsi" w:hAnsiTheme="minorHAnsi" w:cstheme="minorHAnsi"/>
          <w:color w:val="1D2228"/>
          <w:sz w:val="22"/>
          <w:szCs w:val="22"/>
        </w:rPr>
        <w:t xml:space="preserve">This approach should have been adopted for this </w:t>
      </w:r>
      <w:r w:rsidR="00DA3D08" w:rsidRPr="00CC0028">
        <w:rPr>
          <w:rFonts w:asciiTheme="minorHAnsi" w:hAnsiTheme="minorHAnsi" w:cstheme="minorHAnsi"/>
          <w:color w:val="1D2228"/>
          <w:sz w:val="22"/>
          <w:szCs w:val="22"/>
        </w:rPr>
        <w:t>SAP</w:t>
      </w:r>
      <w:r w:rsidRPr="00CC0028">
        <w:rPr>
          <w:rFonts w:asciiTheme="minorHAnsi" w:hAnsiTheme="minorHAnsi" w:cstheme="minorHAnsi"/>
          <w:color w:val="1D2228"/>
          <w:sz w:val="22"/>
          <w:szCs w:val="22"/>
        </w:rPr>
        <w:t xml:space="preserve"> especially given this isn’t a minor adjustment to the existing Core Strategy dispersal strategy</w:t>
      </w:r>
      <w:r w:rsidR="00B44746">
        <w:rPr>
          <w:rFonts w:asciiTheme="minorHAnsi" w:hAnsiTheme="minorHAnsi" w:cstheme="minorHAnsi"/>
          <w:color w:val="1D2228"/>
          <w:sz w:val="22"/>
          <w:szCs w:val="22"/>
        </w:rPr>
        <w:t>. I</w:t>
      </w:r>
      <w:r w:rsidRPr="00CC0028">
        <w:rPr>
          <w:rFonts w:asciiTheme="minorHAnsi" w:hAnsiTheme="minorHAnsi" w:cstheme="minorHAnsi"/>
          <w:color w:val="1D2228"/>
          <w:sz w:val="22"/>
          <w:szCs w:val="22"/>
        </w:rPr>
        <w:t>t’s very significant change with Welford alone hav</w:t>
      </w:r>
      <w:r w:rsidR="00B44746">
        <w:rPr>
          <w:rFonts w:asciiTheme="minorHAnsi" w:hAnsiTheme="minorHAnsi" w:cstheme="minorHAnsi"/>
          <w:color w:val="1D2228"/>
          <w:sz w:val="22"/>
          <w:szCs w:val="22"/>
        </w:rPr>
        <w:t>ing</w:t>
      </w:r>
      <w:r w:rsidRPr="00CC0028">
        <w:rPr>
          <w:rFonts w:asciiTheme="minorHAnsi" w:hAnsiTheme="minorHAnsi" w:cstheme="minorHAnsi"/>
          <w:color w:val="1D2228"/>
          <w:sz w:val="22"/>
          <w:szCs w:val="22"/>
        </w:rPr>
        <w:t xml:space="preserve"> 108% additional houses allocated to the village outside the ‘Made’ Neighbourhood Development Plan Built up Area Boundary.</w:t>
      </w:r>
    </w:p>
    <w:p w14:paraId="392A271A" w14:textId="77777777" w:rsidR="000D0BB1" w:rsidRPr="00CC0028" w:rsidRDefault="000D0BB1" w:rsidP="00237D58">
      <w:pPr>
        <w:pStyle w:val="yiv8428220429msonormal"/>
        <w:shd w:val="clear" w:color="auto" w:fill="FFFFFF"/>
        <w:rPr>
          <w:rFonts w:asciiTheme="minorHAnsi" w:hAnsiTheme="minorHAnsi" w:cstheme="minorHAnsi"/>
          <w:color w:val="1D2228"/>
          <w:sz w:val="22"/>
          <w:szCs w:val="22"/>
        </w:rPr>
      </w:pPr>
    </w:p>
    <w:p w14:paraId="5B2523BD" w14:textId="0DE69047" w:rsidR="005137BC" w:rsidRPr="00CC0028" w:rsidRDefault="00F5403C" w:rsidP="00892CB8">
      <w:pPr>
        <w:pStyle w:val="ListParagraph"/>
        <w:numPr>
          <w:ilvl w:val="0"/>
          <w:numId w:val="4"/>
        </w:numPr>
        <w:rPr>
          <w:rFonts w:asciiTheme="minorHAnsi" w:hAnsiTheme="minorHAnsi" w:cstheme="minorHAnsi"/>
          <w:b/>
          <w:bCs/>
          <w:noProof/>
          <w:sz w:val="28"/>
          <w:szCs w:val="28"/>
        </w:rPr>
      </w:pPr>
      <w:r>
        <w:rPr>
          <w:rFonts w:asciiTheme="minorHAnsi" w:hAnsiTheme="minorHAnsi" w:cstheme="minorHAnsi"/>
          <w:b/>
          <w:bCs/>
          <w:noProof/>
          <w:sz w:val="28"/>
          <w:szCs w:val="28"/>
        </w:rPr>
        <w:t>C</w:t>
      </w:r>
      <w:r w:rsidR="005137BC" w:rsidRPr="00CC0028">
        <w:rPr>
          <w:rFonts w:asciiTheme="minorHAnsi" w:hAnsiTheme="minorHAnsi" w:cstheme="minorHAnsi"/>
          <w:b/>
          <w:bCs/>
          <w:noProof/>
          <w:sz w:val="28"/>
          <w:szCs w:val="28"/>
        </w:rPr>
        <w:t>onsisten</w:t>
      </w:r>
      <w:r>
        <w:rPr>
          <w:rFonts w:asciiTheme="minorHAnsi" w:hAnsiTheme="minorHAnsi" w:cstheme="minorHAnsi"/>
          <w:b/>
          <w:bCs/>
          <w:noProof/>
          <w:sz w:val="28"/>
          <w:szCs w:val="28"/>
        </w:rPr>
        <w:t>cy</w:t>
      </w:r>
      <w:r w:rsidR="005137BC" w:rsidRPr="00CC0028">
        <w:rPr>
          <w:rFonts w:asciiTheme="minorHAnsi" w:hAnsiTheme="minorHAnsi" w:cstheme="minorHAnsi"/>
          <w:b/>
          <w:bCs/>
          <w:noProof/>
          <w:sz w:val="28"/>
          <w:szCs w:val="28"/>
        </w:rPr>
        <w:t xml:space="preserve"> with National Policy</w:t>
      </w:r>
    </w:p>
    <w:p w14:paraId="167DFB8D" w14:textId="77777777" w:rsidR="00892CB8" w:rsidRPr="00CC0028" w:rsidRDefault="00892CB8" w:rsidP="00892CB8">
      <w:pPr>
        <w:rPr>
          <w:rFonts w:cstheme="minorHAnsi"/>
          <w:b/>
          <w:bCs/>
          <w:noProof/>
        </w:rPr>
      </w:pPr>
    </w:p>
    <w:p w14:paraId="309914C6" w14:textId="3BB3A6BF" w:rsidR="005137BC" w:rsidRPr="00CC0028" w:rsidRDefault="00DA3D08" w:rsidP="005137BC">
      <w:pPr>
        <w:rPr>
          <w:rFonts w:cstheme="minorHAnsi"/>
          <w:b/>
          <w:bCs/>
          <w:noProof/>
        </w:rPr>
      </w:pPr>
      <w:r w:rsidRPr="00CC0028">
        <w:rPr>
          <w:rFonts w:cstheme="minorHAnsi"/>
          <w:b/>
          <w:bCs/>
          <w:noProof/>
        </w:rPr>
        <w:t>2.1</w:t>
      </w:r>
      <w:r w:rsidRPr="00CC0028">
        <w:rPr>
          <w:rFonts w:cstheme="minorHAnsi"/>
          <w:b/>
          <w:bCs/>
          <w:noProof/>
        </w:rPr>
        <w:tab/>
      </w:r>
      <w:r w:rsidR="005137BC" w:rsidRPr="00CC0028">
        <w:rPr>
          <w:rFonts w:cstheme="minorHAnsi"/>
          <w:b/>
          <w:bCs/>
          <w:noProof/>
        </w:rPr>
        <w:t xml:space="preserve">Welford-on-Avon’s </w:t>
      </w:r>
      <w:r w:rsidR="00CC0028">
        <w:rPr>
          <w:rFonts w:cstheme="minorHAnsi"/>
          <w:b/>
          <w:bCs/>
          <w:noProof/>
        </w:rPr>
        <w:t xml:space="preserve">‘Made’ </w:t>
      </w:r>
      <w:r w:rsidR="005137BC" w:rsidRPr="00CC0028">
        <w:rPr>
          <w:rFonts w:cstheme="minorHAnsi"/>
          <w:b/>
          <w:bCs/>
          <w:noProof/>
        </w:rPr>
        <w:t>Neighbourhood Plan has been ignored</w:t>
      </w:r>
    </w:p>
    <w:p w14:paraId="5DF10309" w14:textId="05D8A1C0" w:rsidR="005137BC" w:rsidRDefault="005137BC" w:rsidP="005137BC">
      <w:pPr>
        <w:rPr>
          <w:noProof/>
        </w:rPr>
      </w:pPr>
      <w:r w:rsidRPr="00CC0028">
        <w:rPr>
          <w:rFonts w:cstheme="minorHAnsi"/>
          <w:noProof/>
        </w:rPr>
        <w:t>Both the Localism Act 2011 and the National Planning Policy Framework</w:t>
      </w:r>
      <w:r w:rsidR="00DA3D08" w:rsidRPr="00CC0028">
        <w:rPr>
          <w:rFonts w:cstheme="minorHAnsi"/>
          <w:noProof/>
        </w:rPr>
        <w:t xml:space="preserve"> (NPPF)</w:t>
      </w:r>
      <w:r w:rsidRPr="00CC0028">
        <w:rPr>
          <w:rFonts w:cstheme="minorHAnsi"/>
          <w:noProof/>
        </w:rPr>
        <w:t xml:space="preserve"> (as revised in 2019) encourage communities to develop their own Neighbourhood </w:t>
      </w:r>
      <w:r w:rsidR="00DA3D08" w:rsidRPr="00CC0028">
        <w:rPr>
          <w:rFonts w:cstheme="minorHAnsi"/>
          <w:noProof/>
        </w:rPr>
        <w:t xml:space="preserve">Development </w:t>
      </w:r>
      <w:r w:rsidRPr="00CC0028">
        <w:rPr>
          <w:rFonts w:cstheme="minorHAnsi"/>
          <w:noProof/>
        </w:rPr>
        <w:t>Plan</w:t>
      </w:r>
      <w:r w:rsidR="00DA3D08" w:rsidRPr="00CC0028">
        <w:rPr>
          <w:rFonts w:cstheme="minorHAnsi"/>
          <w:noProof/>
        </w:rPr>
        <w:t>s</w:t>
      </w:r>
      <w:r w:rsidRPr="00CC0028">
        <w:rPr>
          <w:rFonts w:cstheme="minorHAnsi"/>
          <w:noProof/>
        </w:rPr>
        <w:t>.</w:t>
      </w:r>
      <w:r w:rsidRPr="00892CB8">
        <w:rPr>
          <w:rFonts w:cstheme="minorHAnsi"/>
          <w:noProof/>
        </w:rPr>
        <w:t xml:space="preserve">  According to the Government’s own document “A plain English guide to the Localism Act” (November 2011)”,  Neighbourhood </w:t>
      </w:r>
      <w:r w:rsidR="00DA3D08">
        <w:rPr>
          <w:rFonts w:cstheme="minorHAnsi"/>
          <w:noProof/>
        </w:rPr>
        <w:t xml:space="preserve">Development </w:t>
      </w:r>
      <w:r w:rsidRPr="00892CB8">
        <w:rPr>
          <w:rFonts w:cstheme="minorHAnsi"/>
          <w:noProof/>
        </w:rPr>
        <w:t>Plans provide local communities with the opportunity to influence the future of the places where</w:t>
      </w:r>
      <w:r>
        <w:rPr>
          <w:noProof/>
        </w:rPr>
        <w:t xml:space="preserve"> they live.  When approved at a referendum</w:t>
      </w:r>
      <w:r w:rsidR="00B44746">
        <w:rPr>
          <w:noProof/>
        </w:rPr>
        <w:t>,</w:t>
      </w:r>
      <w:r>
        <w:rPr>
          <w:noProof/>
        </w:rPr>
        <w:t xml:space="preserve"> Neighbourhood</w:t>
      </w:r>
      <w:r w:rsidR="00DA3D08">
        <w:rPr>
          <w:noProof/>
        </w:rPr>
        <w:t xml:space="preserve"> Development</w:t>
      </w:r>
      <w:r>
        <w:rPr>
          <w:noProof/>
        </w:rPr>
        <w:t xml:space="preserve"> Plans attain the same legal status as a local plan and come into force as part of the statutory development plan.</w:t>
      </w:r>
    </w:p>
    <w:p w14:paraId="020E5281" w14:textId="616F2B34" w:rsidR="005137BC" w:rsidRDefault="005137BC" w:rsidP="005137BC">
      <w:pPr>
        <w:rPr>
          <w:noProof/>
        </w:rPr>
      </w:pPr>
      <w:r>
        <w:rPr>
          <w:noProof/>
        </w:rPr>
        <w:t xml:space="preserve">It can be taken from this that Welford-on-Avon’s </w:t>
      </w:r>
      <w:r w:rsidR="00DA3D08">
        <w:rPr>
          <w:noProof/>
        </w:rPr>
        <w:t xml:space="preserve">‘Made’ </w:t>
      </w:r>
      <w:r>
        <w:rPr>
          <w:noProof/>
        </w:rPr>
        <w:t xml:space="preserve">Neighbourhood </w:t>
      </w:r>
      <w:r w:rsidR="00DA3D08">
        <w:rPr>
          <w:noProof/>
        </w:rPr>
        <w:t xml:space="preserve">Development </w:t>
      </w:r>
      <w:r>
        <w:rPr>
          <w:noProof/>
        </w:rPr>
        <w:t>Plan</w:t>
      </w:r>
      <w:r w:rsidR="00DA3D08">
        <w:rPr>
          <w:noProof/>
        </w:rPr>
        <w:t xml:space="preserve">, </w:t>
      </w:r>
      <w:r>
        <w:rPr>
          <w:noProof/>
        </w:rPr>
        <w:t>which has been inspected and approved, has legal significance.  It sets out clearly, on page 37, the reasons why the village felt that it should not include Site Allocations in the Welford Plan.  This has been ignored in the formulation of the Site Allocation</w:t>
      </w:r>
      <w:r w:rsidR="0070164E">
        <w:rPr>
          <w:noProof/>
        </w:rPr>
        <w:t>s</w:t>
      </w:r>
      <w:r>
        <w:rPr>
          <w:noProof/>
        </w:rPr>
        <w:t xml:space="preserve"> Plan (SAP) and the village is having imposed on it, contrary to its wishes, four sites where development is being encouraged.</w:t>
      </w:r>
    </w:p>
    <w:p w14:paraId="1575BC9E" w14:textId="59EEC492" w:rsidR="005137BC" w:rsidRPr="00DA3D08" w:rsidRDefault="00DA3D08" w:rsidP="005137BC">
      <w:pPr>
        <w:rPr>
          <w:b/>
          <w:bCs/>
          <w:noProof/>
        </w:rPr>
      </w:pPr>
      <w:r w:rsidRPr="00DA3D08">
        <w:rPr>
          <w:b/>
          <w:bCs/>
          <w:noProof/>
        </w:rPr>
        <w:t>2.2</w:t>
      </w:r>
      <w:r w:rsidRPr="00DA3D08">
        <w:rPr>
          <w:b/>
          <w:bCs/>
          <w:noProof/>
        </w:rPr>
        <w:tab/>
      </w:r>
      <w:r w:rsidR="005137BC" w:rsidRPr="00DA3D08">
        <w:rPr>
          <w:b/>
          <w:bCs/>
          <w:noProof/>
        </w:rPr>
        <w:t>Lack of consultation</w:t>
      </w:r>
    </w:p>
    <w:p w14:paraId="41B8D35F" w14:textId="68215021" w:rsidR="005137BC" w:rsidRDefault="005137BC" w:rsidP="005137BC">
      <w:pPr>
        <w:rPr>
          <w:noProof/>
        </w:rPr>
      </w:pPr>
      <w:r>
        <w:rPr>
          <w:noProof/>
        </w:rPr>
        <w:t xml:space="preserve">NPPF paragraph 16.c requires Plans </w:t>
      </w:r>
      <w:r w:rsidRPr="00633463">
        <w:rPr>
          <w:i/>
          <w:noProof/>
        </w:rPr>
        <w:t>to be shaped by early, proportionate and effective engagement between plan makers and communities</w:t>
      </w:r>
      <w:r>
        <w:rPr>
          <w:noProof/>
        </w:rPr>
        <w:t xml:space="preserve">. Consultation on the SAP with parish councils was late and hurried, particularly given the significant impact of this </w:t>
      </w:r>
      <w:r w:rsidR="00DA3D08">
        <w:rPr>
          <w:noProof/>
        </w:rPr>
        <w:t>SAP</w:t>
      </w:r>
      <w:r>
        <w:rPr>
          <w:noProof/>
        </w:rPr>
        <w:t xml:space="preserve"> on local communities.</w:t>
      </w:r>
      <w:r w:rsidR="00DA3D08">
        <w:rPr>
          <w:noProof/>
        </w:rPr>
        <w:t xml:space="preserve"> </w:t>
      </w:r>
      <w:r>
        <w:rPr>
          <w:noProof/>
        </w:rPr>
        <w:t xml:space="preserve">The nature of the response form required to be used, the legal language used and the short timescale for response will exclude the majority of the public from responding. </w:t>
      </w:r>
    </w:p>
    <w:p w14:paraId="6A91C5AA" w14:textId="14387CDB" w:rsidR="005137BC" w:rsidRPr="003E1375" w:rsidRDefault="003E1375" w:rsidP="005137BC">
      <w:pPr>
        <w:rPr>
          <w:b/>
          <w:bCs/>
          <w:noProof/>
        </w:rPr>
      </w:pPr>
      <w:r w:rsidRPr="003E1375">
        <w:rPr>
          <w:b/>
          <w:bCs/>
          <w:noProof/>
        </w:rPr>
        <w:t>2.3</w:t>
      </w:r>
      <w:r w:rsidRPr="003E1375">
        <w:rPr>
          <w:b/>
          <w:bCs/>
          <w:noProof/>
        </w:rPr>
        <w:tab/>
      </w:r>
      <w:r w:rsidR="00CC0028">
        <w:rPr>
          <w:b/>
          <w:bCs/>
          <w:noProof/>
        </w:rPr>
        <w:t>Releasing R</w:t>
      </w:r>
      <w:r w:rsidR="005137BC" w:rsidRPr="003E1375">
        <w:rPr>
          <w:b/>
          <w:bCs/>
          <w:noProof/>
        </w:rPr>
        <w:t>eserve sites</w:t>
      </w:r>
    </w:p>
    <w:p w14:paraId="73BB9466" w14:textId="281397B7" w:rsidR="005137BC" w:rsidRDefault="005137BC" w:rsidP="005137BC">
      <w:pPr>
        <w:rPr>
          <w:noProof/>
        </w:rPr>
      </w:pPr>
      <w:r>
        <w:rPr>
          <w:noProof/>
        </w:rPr>
        <w:t xml:space="preserve">NPPF paragraph 16.d requires that policies make it </w:t>
      </w:r>
      <w:r w:rsidR="003E1375">
        <w:rPr>
          <w:noProof/>
        </w:rPr>
        <w:t>“</w:t>
      </w:r>
      <w:r w:rsidRPr="00CD3D3C">
        <w:rPr>
          <w:i/>
          <w:noProof/>
        </w:rPr>
        <w:t>evident how a decision maker should react to development proposals</w:t>
      </w:r>
      <w:r w:rsidR="003E1375">
        <w:rPr>
          <w:i/>
          <w:noProof/>
        </w:rPr>
        <w:t>”</w:t>
      </w:r>
      <w:r w:rsidRPr="00CD3D3C">
        <w:rPr>
          <w:noProof/>
        </w:rPr>
        <w:t>.  Policy</w:t>
      </w:r>
      <w:r>
        <w:rPr>
          <w:noProof/>
        </w:rPr>
        <w:t xml:space="preserve"> SAP.2 does not make it clear how, in the event of reserve housing sites being released to meet shortfalls in housing in one or more of the areas described in parts  B – F of the policy, a decision maker should allocate the shortfall between reserve sites in the many parishes within the relevant HMA. </w:t>
      </w:r>
    </w:p>
    <w:p w14:paraId="6C7C7D35" w14:textId="266D1C55" w:rsidR="005137BC" w:rsidRPr="003E1375" w:rsidRDefault="003E1375" w:rsidP="005137BC">
      <w:pPr>
        <w:rPr>
          <w:b/>
          <w:bCs/>
          <w:iCs/>
          <w:noProof/>
        </w:rPr>
      </w:pPr>
      <w:r w:rsidRPr="003E1375">
        <w:rPr>
          <w:b/>
          <w:bCs/>
          <w:noProof/>
        </w:rPr>
        <w:t>2.4</w:t>
      </w:r>
      <w:r w:rsidRPr="003E1375">
        <w:rPr>
          <w:b/>
          <w:bCs/>
          <w:noProof/>
        </w:rPr>
        <w:tab/>
      </w:r>
      <w:r w:rsidR="00CC0028">
        <w:rPr>
          <w:b/>
          <w:bCs/>
          <w:noProof/>
        </w:rPr>
        <w:t>L</w:t>
      </w:r>
      <w:r w:rsidR="005137BC" w:rsidRPr="003E1375">
        <w:rPr>
          <w:b/>
          <w:bCs/>
          <w:noProof/>
        </w:rPr>
        <w:t>evel of dispersal to Local Service Villages</w:t>
      </w:r>
    </w:p>
    <w:p w14:paraId="61F24104" w14:textId="77777777" w:rsidR="005137BC" w:rsidRDefault="005137BC" w:rsidP="005137BC">
      <w:pPr>
        <w:rPr>
          <w:noProof/>
        </w:rPr>
      </w:pPr>
      <w:r>
        <w:rPr>
          <w:noProof/>
        </w:rPr>
        <w:t>Paragraph 35.b of the NPPF requires Plans to be based on proportionate evidence.  The explanation of policy SAP.1 at paragraph 2.1.9 refers to the Inspector’s report on the Core Strategy which states:</w:t>
      </w:r>
    </w:p>
    <w:p w14:paraId="2E3EDEEB" w14:textId="2A864722" w:rsidR="005137BC" w:rsidRPr="00826EC4" w:rsidRDefault="003E1375" w:rsidP="005137BC">
      <w:pPr>
        <w:rPr>
          <w:i/>
          <w:noProof/>
        </w:rPr>
      </w:pPr>
      <w:r>
        <w:rPr>
          <w:i/>
          <w:noProof/>
        </w:rPr>
        <w:t>“</w:t>
      </w:r>
      <w:r w:rsidR="005137BC" w:rsidRPr="00826EC4">
        <w:rPr>
          <w:i/>
          <w:noProof/>
        </w:rPr>
        <w:t>When identifying reserve sites the following principles should be taken into account:</w:t>
      </w:r>
    </w:p>
    <w:p w14:paraId="3CFAB6C3" w14:textId="77777777" w:rsidR="005137BC" w:rsidRPr="003E1375" w:rsidRDefault="005137BC" w:rsidP="005137BC">
      <w:pPr>
        <w:pStyle w:val="ListParagraph"/>
        <w:numPr>
          <w:ilvl w:val="0"/>
          <w:numId w:val="1"/>
        </w:numPr>
        <w:rPr>
          <w:rFonts w:asciiTheme="minorHAnsi" w:hAnsiTheme="minorHAnsi" w:cstheme="minorHAnsi"/>
          <w:i/>
          <w:noProof/>
          <w:sz w:val="22"/>
          <w:szCs w:val="22"/>
        </w:rPr>
      </w:pPr>
      <w:r w:rsidRPr="003E1375">
        <w:rPr>
          <w:rFonts w:asciiTheme="minorHAnsi" w:hAnsiTheme="minorHAnsi" w:cstheme="minorHAnsi"/>
          <w:i/>
          <w:noProof/>
          <w:sz w:val="22"/>
          <w:szCs w:val="22"/>
        </w:rPr>
        <w:t>Against the background of concerns about the level of dispersal to LSVs, this aspect of the policy might need to be revisited when allocating reserve sites in the SAP.</w:t>
      </w:r>
    </w:p>
    <w:p w14:paraId="79422510" w14:textId="77777777" w:rsidR="005137BC" w:rsidRPr="003E1375" w:rsidRDefault="005137BC" w:rsidP="005137BC">
      <w:pPr>
        <w:pStyle w:val="ListParagraph"/>
        <w:numPr>
          <w:ilvl w:val="0"/>
          <w:numId w:val="1"/>
        </w:numPr>
        <w:rPr>
          <w:rFonts w:asciiTheme="minorHAnsi" w:hAnsiTheme="minorHAnsi" w:cstheme="minorHAnsi"/>
          <w:noProof/>
          <w:sz w:val="22"/>
          <w:szCs w:val="22"/>
        </w:rPr>
      </w:pPr>
      <w:r w:rsidRPr="003E1375">
        <w:rPr>
          <w:rFonts w:asciiTheme="minorHAnsi" w:hAnsiTheme="minorHAnsi" w:cstheme="minorHAnsi"/>
          <w:i/>
          <w:noProof/>
          <w:sz w:val="22"/>
          <w:szCs w:val="22"/>
        </w:rPr>
        <w:t>Given raised thresholds, dispersal of reserve sites to LSVs might not maximise the delivery of affordable housing</w:t>
      </w:r>
      <w:r w:rsidRPr="003E1375">
        <w:rPr>
          <w:rFonts w:asciiTheme="minorHAnsi" w:hAnsiTheme="minorHAnsi" w:cstheme="minorHAnsi"/>
          <w:noProof/>
          <w:sz w:val="22"/>
          <w:szCs w:val="22"/>
        </w:rPr>
        <w:t xml:space="preserve">.   </w:t>
      </w:r>
    </w:p>
    <w:p w14:paraId="5BED1E83" w14:textId="77777777" w:rsidR="005137BC" w:rsidRDefault="005137BC" w:rsidP="005137BC">
      <w:r>
        <w:t>There is no evidence that either of these two principles have been considered, even less taken into account.</w:t>
      </w:r>
    </w:p>
    <w:p w14:paraId="689AF251" w14:textId="77777777" w:rsidR="005137BC" w:rsidRDefault="005137BC" w:rsidP="005137BC">
      <w:r>
        <w:lastRenderedPageBreak/>
        <w:t>In fact, despite the Inspector’s comments, there has been a growing trend to allocate proportionally more of the District’s housing to LSVs as shown in the following table:</w:t>
      </w:r>
    </w:p>
    <w:p w14:paraId="1B4F05B0" w14:textId="77777777" w:rsidR="005137BC" w:rsidRDefault="005137BC" w:rsidP="005137BC"/>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74"/>
        <w:gridCol w:w="2074"/>
        <w:gridCol w:w="2074"/>
        <w:gridCol w:w="2074"/>
      </w:tblGrid>
      <w:tr w:rsidR="005137BC" w14:paraId="73C40841" w14:textId="77777777" w:rsidTr="00CC0028">
        <w:tc>
          <w:tcPr>
            <w:tcW w:w="2074" w:type="dxa"/>
          </w:tcPr>
          <w:p w14:paraId="18610907" w14:textId="77777777" w:rsidR="005137BC" w:rsidRDefault="005137BC" w:rsidP="000F4114"/>
        </w:tc>
        <w:tc>
          <w:tcPr>
            <w:tcW w:w="2074" w:type="dxa"/>
          </w:tcPr>
          <w:p w14:paraId="5DA41AF9" w14:textId="77777777" w:rsidR="005137BC" w:rsidRDefault="005137BC" w:rsidP="000F4114">
            <w:r>
              <w:t>LSV’s</w:t>
            </w:r>
          </w:p>
        </w:tc>
        <w:tc>
          <w:tcPr>
            <w:tcW w:w="2074" w:type="dxa"/>
          </w:tcPr>
          <w:p w14:paraId="7BAB9C98" w14:textId="77777777" w:rsidR="005137BC" w:rsidRDefault="005137BC" w:rsidP="000F4114">
            <w:r>
              <w:t>Total</w:t>
            </w:r>
          </w:p>
        </w:tc>
        <w:tc>
          <w:tcPr>
            <w:tcW w:w="2074" w:type="dxa"/>
          </w:tcPr>
          <w:p w14:paraId="01A360C5" w14:textId="77777777" w:rsidR="005137BC" w:rsidRDefault="005137BC" w:rsidP="000F4114">
            <w:r>
              <w:t>LSV % of total</w:t>
            </w:r>
          </w:p>
        </w:tc>
      </w:tr>
      <w:tr w:rsidR="005137BC" w14:paraId="5FA2D68C" w14:textId="77777777" w:rsidTr="00CC0028">
        <w:tc>
          <w:tcPr>
            <w:tcW w:w="2074" w:type="dxa"/>
          </w:tcPr>
          <w:p w14:paraId="427DA9A3" w14:textId="77777777" w:rsidR="005137BC" w:rsidRDefault="005137BC" w:rsidP="000F4114">
            <w:r>
              <w:t>Core Strategy</w:t>
            </w:r>
          </w:p>
          <w:p w14:paraId="69E1B98A" w14:textId="77777777" w:rsidR="005137BC" w:rsidRDefault="005137BC" w:rsidP="000F4114">
            <w:r>
              <w:t>2016</w:t>
            </w:r>
          </w:p>
        </w:tc>
        <w:tc>
          <w:tcPr>
            <w:tcW w:w="2074" w:type="dxa"/>
          </w:tcPr>
          <w:p w14:paraId="1397CF7B" w14:textId="77777777" w:rsidR="005137BC" w:rsidRDefault="005137BC" w:rsidP="000F4114">
            <w:r>
              <w:t>2,000</w:t>
            </w:r>
          </w:p>
        </w:tc>
        <w:tc>
          <w:tcPr>
            <w:tcW w:w="2074" w:type="dxa"/>
          </w:tcPr>
          <w:p w14:paraId="41FF6E30" w14:textId="77777777" w:rsidR="005137BC" w:rsidRDefault="005137BC" w:rsidP="000F4114">
            <w:r>
              <w:t>14,600</w:t>
            </w:r>
          </w:p>
        </w:tc>
        <w:tc>
          <w:tcPr>
            <w:tcW w:w="2074" w:type="dxa"/>
          </w:tcPr>
          <w:p w14:paraId="7F32EC5E" w14:textId="77777777" w:rsidR="005137BC" w:rsidRPr="0070164E" w:rsidRDefault="005137BC" w:rsidP="000F4114">
            <w:r w:rsidRPr="0070164E">
              <w:t>13.7%</w:t>
            </w:r>
          </w:p>
        </w:tc>
      </w:tr>
      <w:tr w:rsidR="005137BC" w14:paraId="1DC01DC4" w14:textId="77777777" w:rsidTr="00CC0028">
        <w:tc>
          <w:tcPr>
            <w:tcW w:w="2074" w:type="dxa"/>
          </w:tcPr>
          <w:p w14:paraId="050D9134" w14:textId="77777777" w:rsidR="005137BC" w:rsidRDefault="005137BC" w:rsidP="000F4114">
            <w:r>
              <w:t>Actual completions</w:t>
            </w:r>
          </w:p>
          <w:p w14:paraId="74883148" w14:textId="77777777" w:rsidR="005137BC" w:rsidRDefault="005137BC" w:rsidP="000F4114">
            <w:r>
              <w:t>2011/12 to 2017/18</w:t>
            </w:r>
          </w:p>
        </w:tc>
        <w:tc>
          <w:tcPr>
            <w:tcW w:w="2074" w:type="dxa"/>
          </w:tcPr>
          <w:p w14:paraId="27D79C9B" w14:textId="77777777" w:rsidR="005137BC" w:rsidRDefault="005137BC" w:rsidP="000F4114"/>
          <w:p w14:paraId="159FAD1E" w14:textId="77777777" w:rsidR="005137BC" w:rsidRDefault="005137BC" w:rsidP="000F4114">
            <w:r>
              <w:t>1,122</w:t>
            </w:r>
          </w:p>
        </w:tc>
        <w:tc>
          <w:tcPr>
            <w:tcW w:w="2074" w:type="dxa"/>
          </w:tcPr>
          <w:p w14:paraId="29C12454" w14:textId="77777777" w:rsidR="005137BC" w:rsidRDefault="005137BC" w:rsidP="000F4114"/>
          <w:p w14:paraId="719B687B" w14:textId="77777777" w:rsidR="005137BC" w:rsidRDefault="005137BC" w:rsidP="000F4114">
            <w:r>
              <w:t xml:space="preserve">  4,857</w:t>
            </w:r>
          </w:p>
        </w:tc>
        <w:tc>
          <w:tcPr>
            <w:tcW w:w="2074" w:type="dxa"/>
          </w:tcPr>
          <w:p w14:paraId="720418D6" w14:textId="77777777" w:rsidR="005137BC" w:rsidRPr="0070164E" w:rsidRDefault="005137BC" w:rsidP="000F4114"/>
          <w:p w14:paraId="2239C826" w14:textId="77777777" w:rsidR="005137BC" w:rsidRPr="0070164E" w:rsidRDefault="005137BC" w:rsidP="000F4114">
            <w:r w:rsidRPr="0070164E">
              <w:t>23.1%</w:t>
            </w:r>
          </w:p>
        </w:tc>
      </w:tr>
      <w:tr w:rsidR="005137BC" w14:paraId="1C2459C8" w14:textId="77777777" w:rsidTr="00CC0028">
        <w:tc>
          <w:tcPr>
            <w:tcW w:w="2074" w:type="dxa"/>
          </w:tcPr>
          <w:p w14:paraId="6E42B860" w14:textId="77777777" w:rsidR="005137BC" w:rsidRDefault="005137BC" w:rsidP="000F4114">
            <w:r>
              <w:t>Actual completions</w:t>
            </w:r>
          </w:p>
          <w:p w14:paraId="10A8225B" w14:textId="77777777" w:rsidR="005137BC" w:rsidRDefault="005137BC" w:rsidP="000F4114">
            <w:r>
              <w:t>2017/18</w:t>
            </w:r>
          </w:p>
        </w:tc>
        <w:tc>
          <w:tcPr>
            <w:tcW w:w="2074" w:type="dxa"/>
          </w:tcPr>
          <w:p w14:paraId="1D3AAAB1" w14:textId="77777777" w:rsidR="005137BC" w:rsidRDefault="005137BC" w:rsidP="000F4114"/>
          <w:p w14:paraId="6EB31387" w14:textId="77777777" w:rsidR="005137BC" w:rsidRDefault="005137BC" w:rsidP="000F4114">
            <w:r>
              <w:t xml:space="preserve">   422</w:t>
            </w:r>
          </w:p>
        </w:tc>
        <w:tc>
          <w:tcPr>
            <w:tcW w:w="2074" w:type="dxa"/>
          </w:tcPr>
          <w:p w14:paraId="670109F7" w14:textId="77777777" w:rsidR="005137BC" w:rsidRDefault="005137BC" w:rsidP="000F4114"/>
          <w:p w14:paraId="2DE84689" w14:textId="77777777" w:rsidR="005137BC" w:rsidRDefault="005137BC" w:rsidP="000F4114">
            <w:r>
              <w:t xml:space="preserve">  1,295</w:t>
            </w:r>
          </w:p>
        </w:tc>
        <w:tc>
          <w:tcPr>
            <w:tcW w:w="2074" w:type="dxa"/>
          </w:tcPr>
          <w:p w14:paraId="42E6CEA2" w14:textId="77777777" w:rsidR="005137BC" w:rsidRPr="0070164E" w:rsidRDefault="005137BC" w:rsidP="000F4114"/>
          <w:p w14:paraId="2B920707" w14:textId="77777777" w:rsidR="005137BC" w:rsidRPr="0070164E" w:rsidRDefault="005137BC" w:rsidP="000F4114">
            <w:r w:rsidRPr="0070164E">
              <w:t>32.6%</w:t>
            </w:r>
          </w:p>
        </w:tc>
      </w:tr>
      <w:tr w:rsidR="005137BC" w14:paraId="23374D19" w14:textId="77777777" w:rsidTr="00CC0028">
        <w:tc>
          <w:tcPr>
            <w:tcW w:w="2074" w:type="dxa"/>
          </w:tcPr>
          <w:p w14:paraId="39951703" w14:textId="00D94C5A" w:rsidR="005137BC" w:rsidRDefault="005137BC" w:rsidP="000F4114">
            <w:r>
              <w:t>Site Allocation</w:t>
            </w:r>
            <w:r w:rsidR="0070164E">
              <w:t>s</w:t>
            </w:r>
            <w:r>
              <w:t xml:space="preserve"> Plan</w:t>
            </w:r>
          </w:p>
          <w:p w14:paraId="27A0A143" w14:textId="77777777" w:rsidR="005137BC" w:rsidRDefault="005137BC" w:rsidP="000F4114">
            <w:r>
              <w:t>2019</w:t>
            </w:r>
          </w:p>
          <w:p w14:paraId="585752A4" w14:textId="77777777" w:rsidR="005137BC" w:rsidRDefault="005137BC" w:rsidP="000F4114"/>
        </w:tc>
        <w:tc>
          <w:tcPr>
            <w:tcW w:w="2074" w:type="dxa"/>
          </w:tcPr>
          <w:p w14:paraId="290A4C79" w14:textId="77777777" w:rsidR="005137BC" w:rsidRDefault="005137BC" w:rsidP="000F4114"/>
          <w:p w14:paraId="0B249135" w14:textId="77777777" w:rsidR="005137BC" w:rsidRDefault="005137BC" w:rsidP="000F4114">
            <w:r>
              <w:t>1,257</w:t>
            </w:r>
          </w:p>
        </w:tc>
        <w:tc>
          <w:tcPr>
            <w:tcW w:w="2074" w:type="dxa"/>
          </w:tcPr>
          <w:p w14:paraId="14E34A2A" w14:textId="77777777" w:rsidR="005137BC" w:rsidRDefault="005137BC" w:rsidP="000F4114"/>
          <w:p w14:paraId="6EA0F1AA" w14:textId="77777777" w:rsidR="005137BC" w:rsidRDefault="005137BC" w:rsidP="000F4114">
            <w:r>
              <w:t xml:space="preserve">  3,027</w:t>
            </w:r>
          </w:p>
        </w:tc>
        <w:tc>
          <w:tcPr>
            <w:tcW w:w="2074" w:type="dxa"/>
          </w:tcPr>
          <w:p w14:paraId="2F6400BE" w14:textId="77777777" w:rsidR="005137BC" w:rsidRPr="0070164E" w:rsidRDefault="005137BC" w:rsidP="000F4114"/>
          <w:p w14:paraId="2A7D47C6" w14:textId="77777777" w:rsidR="005137BC" w:rsidRPr="0070164E" w:rsidRDefault="005137BC" w:rsidP="000F4114">
            <w:r w:rsidRPr="0070164E">
              <w:t>41.5%</w:t>
            </w:r>
          </w:p>
        </w:tc>
      </w:tr>
    </w:tbl>
    <w:p w14:paraId="536523E8" w14:textId="77777777" w:rsidR="005137BC" w:rsidRDefault="005137BC" w:rsidP="005137BC">
      <w:r>
        <w:t>(All figures taken from SDC published information)</w:t>
      </w:r>
    </w:p>
    <w:p w14:paraId="25031638" w14:textId="77777777" w:rsidR="00CC0028" w:rsidRDefault="005137BC" w:rsidP="005137BC">
      <w:r>
        <w:t>Also, paragraph 2.1.3 of the SAP reminds us that Policy CS.16D of the Core Strategy requires the Council to identify reserve sites capable of accommodating 20% of the housing requirement to 2031, i.e. 2,920 homes.</w:t>
      </w:r>
    </w:p>
    <w:p w14:paraId="365640B8" w14:textId="77777777" w:rsidR="000D1189" w:rsidRDefault="005137BC" w:rsidP="005137BC">
      <w:r>
        <w:t xml:space="preserve">The Core Strategy targeted 84 houses for Welford </w:t>
      </w:r>
      <w:r w:rsidR="00CC0028">
        <w:t xml:space="preserve">on Avon </w:t>
      </w:r>
      <w:r>
        <w:t xml:space="preserve">as a LSV2 village and 20% of this figure would indicate 17 houses being required of the village.  </w:t>
      </w:r>
    </w:p>
    <w:p w14:paraId="50534973" w14:textId="3B90DAA8" w:rsidR="005137BC" w:rsidRDefault="005137BC" w:rsidP="005137BC">
      <w:r>
        <w:t xml:space="preserve">It is important to note that these, and more, have already been delivered by Welford </w:t>
      </w:r>
      <w:r w:rsidR="000D1189">
        <w:t xml:space="preserve">on Avon </w:t>
      </w:r>
      <w:r>
        <w:t>as evidenced in SDC’s document “Housing Completions and Commitments – Settlements (as of 31 March 2019) published in July 2019.  But even if they hadn’t already been delivered, the suggested SAP figure of 91 houses for the village (including self-build/custom-build houses) would represent over five times the level suggested by the Core Strategy, a further indication of the growing and disproportionate allocation of reserve sites to LSVs generally and Welford-on-Avon specifically.</w:t>
      </w:r>
    </w:p>
    <w:p w14:paraId="713A33EA" w14:textId="4B871B7A" w:rsidR="005137BC" w:rsidRPr="000D1189" w:rsidRDefault="000D1189" w:rsidP="005137BC">
      <w:pPr>
        <w:rPr>
          <w:b/>
          <w:bCs/>
        </w:rPr>
      </w:pPr>
      <w:r w:rsidRPr="000D1189">
        <w:rPr>
          <w:b/>
          <w:bCs/>
        </w:rPr>
        <w:t>2.5</w:t>
      </w:r>
      <w:r w:rsidRPr="000D1189">
        <w:rPr>
          <w:b/>
          <w:bCs/>
        </w:rPr>
        <w:tab/>
      </w:r>
      <w:r w:rsidR="00A4636F">
        <w:rPr>
          <w:b/>
          <w:bCs/>
        </w:rPr>
        <w:t>‘</w:t>
      </w:r>
      <w:r w:rsidR="005137BC" w:rsidRPr="000D1189">
        <w:rPr>
          <w:b/>
          <w:bCs/>
        </w:rPr>
        <w:t xml:space="preserve">Sustainable </w:t>
      </w:r>
      <w:r w:rsidR="00A4636F">
        <w:rPr>
          <w:b/>
          <w:bCs/>
        </w:rPr>
        <w:t>D</w:t>
      </w:r>
      <w:r w:rsidR="005137BC" w:rsidRPr="000D1189">
        <w:rPr>
          <w:b/>
          <w:bCs/>
        </w:rPr>
        <w:t>evelopment</w:t>
      </w:r>
      <w:r w:rsidR="00A4636F">
        <w:rPr>
          <w:b/>
          <w:bCs/>
        </w:rPr>
        <w:t>’</w:t>
      </w:r>
      <w:r w:rsidR="005137BC" w:rsidRPr="000D1189">
        <w:rPr>
          <w:b/>
          <w:bCs/>
        </w:rPr>
        <w:t xml:space="preserve"> is a key requirement of the NPPF</w:t>
      </w:r>
    </w:p>
    <w:p w14:paraId="7540EB85" w14:textId="4F9C9012" w:rsidR="00B44746" w:rsidRDefault="00603410" w:rsidP="00B44746">
      <w:r>
        <w:t xml:space="preserve">New Housing in </w:t>
      </w:r>
      <w:r w:rsidR="00B44746">
        <w:t>W</w:t>
      </w:r>
      <w:r>
        <w:t>elford on Avon:</w:t>
      </w:r>
    </w:p>
    <w:p w14:paraId="745B78F4" w14:textId="145DC7D7" w:rsidR="00B44746" w:rsidRPr="00603410" w:rsidRDefault="00B44746" w:rsidP="00603410">
      <w:pPr>
        <w:pStyle w:val="ListParagraph"/>
        <w:numPr>
          <w:ilvl w:val="0"/>
          <w:numId w:val="12"/>
        </w:numPr>
        <w:rPr>
          <w:rFonts w:asciiTheme="minorHAnsi" w:hAnsiTheme="minorHAnsi" w:cstheme="minorHAnsi"/>
          <w:sz w:val="22"/>
          <w:szCs w:val="22"/>
        </w:rPr>
      </w:pPr>
      <w:r w:rsidRPr="00603410">
        <w:rPr>
          <w:rFonts w:asciiTheme="minorHAnsi" w:hAnsiTheme="minorHAnsi" w:cstheme="minorHAnsi"/>
          <w:sz w:val="22"/>
          <w:szCs w:val="22"/>
        </w:rPr>
        <w:t>Number of new houses built and committed for building – 124 (</w:t>
      </w:r>
      <w:r w:rsidR="00603410">
        <w:rPr>
          <w:rFonts w:asciiTheme="minorHAnsi" w:hAnsiTheme="minorHAnsi" w:cstheme="minorHAnsi"/>
          <w:sz w:val="22"/>
          <w:szCs w:val="22"/>
        </w:rPr>
        <w:t xml:space="preserve">as of </w:t>
      </w:r>
      <w:r w:rsidRPr="00603410">
        <w:rPr>
          <w:rFonts w:asciiTheme="minorHAnsi" w:hAnsiTheme="minorHAnsi" w:cstheme="minorHAnsi"/>
          <w:sz w:val="22"/>
          <w:szCs w:val="22"/>
        </w:rPr>
        <w:t>31/3/19)</w:t>
      </w:r>
    </w:p>
    <w:p w14:paraId="158F3D81" w14:textId="0209610B" w:rsidR="00B44746" w:rsidRPr="00603410" w:rsidRDefault="00B44746" w:rsidP="00603410">
      <w:pPr>
        <w:pStyle w:val="ListParagraph"/>
        <w:numPr>
          <w:ilvl w:val="0"/>
          <w:numId w:val="12"/>
        </w:numPr>
        <w:rPr>
          <w:rFonts w:asciiTheme="minorHAnsi" w:hAnsiTheme="minorHAnsi" w:cstheme="minorHAnsi"/>
          <w:sz w:val="22"/>
          <w:szCs w:val="22"/>
        </w:rPr>
      </w:pPr>
      <w:r w:rsidRPr="00603410">
        <w:rPr>
          <w:rFonts w:asciiTheme="minorHAnsi" w:hAnsiTheme="minorHAnsi" w:cstheme="minorHAnsi"/>
          <w:sz w:val="22"/>
          <w:szCs w:val="22"/>
        </w:rPr>
        <w:t>Proposed S</w:t>
      </w:r>
      <w:r w:rsidR="00603410">
        <w:rPr>
          <w:rFonts w:asciiTheme="minorHAnsi" w:hAnsiTheme="minorHAnsi" w:cstheme="minorHAnsi"/>
          <w:sz w:val="22"/>
          <w:szCs w:val="22"/>
        </w:rPr>
        <w:t xml:space="preserve">ite </w:t>
      </w:r>
      <w:r w:rsidRPr="00603410">
        <w:rPr>
          <w:rFonts w:asciiTheme="minorHAnsi" w:hAnsiTheme="minorHAnsi" w:cstheme="minorHAnsi"/>
          <w:sz w:val="22"/>
          <w:szCs w:val="22"/>
        </w:rPr>
        <w:t>A</w:t>
      </w:r>
      <w:r w:rsidR="00603410">
        <w:rPr>
          <w:rFonts w:asciiTheme="minorHAnsi" w:hAnsiTheme="minorHAnsi" w:cstheme="minorHAnsi"/>
          <w:sz w:val="22"/>
          <w:szCs w:val="22"/>
        </w:rPr>
        <w:t xml:space="preserve">llocations </w:t>
      </w:r>
      <w:r w:rsidRPr="00603410">
        <w:rPr>
          <w:rFonts w:asciiTheme="minorHAnsi" w:hAnsiTheme="minorHAnsi" w:cstheme="minorHAnsi"/>
          <w:sz w:val="22"/>
          <w:szCs w:val="22"/>
        </w:rPr>
        <w:t>P</w:t>
      </w:r>
      <w:r w:rsidR="00603410">
        <w:rPr>
          <w:rFonts w:asciiTheme="minorHAnsi" w:hAnsiTheme="minorHAnsi" w:cstheme="minorHAnsi"/>
          <w:sz w:val="22"/>
          <w:szCs w:val="22"/>
        </w:rPr>
        <w:t>lan</w:t>
      </w:r>
      <w:r w:rsidRPr="00603410">
        <w:rPr>
          <w:rFonts w:asciiTheme="minorHAnsi" w:hAnsiTheme="minorHAnsi" w:cstheme="minorHAnsi"/>
          <w:sz w:val="22"/>
          <w:szCs w:val="22"/>
        </w:rPr>
        <w:t xml:space="preserve"> figure - 91 (incl 10 self-build/custom-build houses)</w:t>
      </w:r>
    </w:p>
    <w:p w14:paraId="66C6057C" w14:textId="1022F51C" w:rsidR="00B44746" w:rsidRPr="00603410" w:rsidRDefault="00B44746" w:rsidP="00603410">
      <w:pPr>
        <w:pStyle w:val="ListParagraph"/>
        <w:numPr>
          <w:ilvl w:val="0"/>
          <w:numId w:val="13"/>
        </w:numPr>
        <w:rPr>
          <w:rFonts w:asciiTheme="minorHAnsi" w:hAnsiTheme="minorHAnsi" w:cstheme="minorHAnsi"/>
          <w:sz w:val="22"/>
          <w:szCs w:val="22"/>
        </w:rPr>
      </w:pPr>
      <w:r w:rsidRPr="00603410">
        <w:rPr>
          <w:rFonts w:asciiTheme="minorHAnsi" w:hAnsiTheme="minorHAnsi" w:cstheme="minorHAnsi"/>
          <w:sz w:val="22"/>
          <w:szCs w:val="22"/>
        </w:rPr>
        <w:t xml:space="preserve">Total of </w:t>
      </w:r>
      <w:r w:rsidRPr="00603410">
        <w:rPr>
          <w:rFonts w:asciiTheme="minorHAnsi" w:hAnsiTheme="minorHAnsi" w:cstheme="minorHAnsi"/>
          <w:b/>
          <w:bCs/>
          <w:sz w:val="22"/>
          <w:szCs w:val="22"/>
        </w:rPr>
        <w:t>215</w:t>
      </w:r>
      <w:r w:rsidRPr="00603410">
        <w:rPr>
          <w:rFonts w:asciiTheme="minorHAnsi" w:hAnsiTheme="minorHAnsi" w:cstheme="minorHAnsi"/>
          <w:sz w:val="22"/>
          <w:szCs w:val="22"/>
        </w:rPr>
        <w:t xml:space="preserve"> new houses (ignoring any other planning proposals in the pipeline)</w:t>
      </w:r>
    </w:p>
    <w:p w14:paraId="7EFDB998" w14:textId="012CE538" w:rsidR="00B44746" w:rsidRPr="00603410" w:rsidRDefault="00B44746" w:rsidP="00603410">
      <w:pPr>
        <w:pStyle w:val="ListParagraph"/>
        <w:numPr>
          <w:ilvl w:val="0"/>
          <w:numId w:val="12"/>
        </w:numPr>
        <w:rPr>
          <w:rFonts w:asciiTheme="minorHAnsi" w:hAnsiTheme="minorHAnsi" w:cstheme="minorHAnsi"/>
          <w:b/>
          <w:bCs/>
          <w:sz w:val="22"/>
          <w:szCs w:val="22"/>
        </w:rPr>
      </w:pPr>
      <w:r w:rsidRPr="00603410">
        <w:rPr>
          <w:rFonts w:asciiTheme="minorHAnsi" w:hAnsiTheme="minorHAnsi" w:cstheme="minorHAnsi"/>
          <w:sz w:val="22"/>
          <w:szCs w:val="22"/>
        </w:rPr>
        <w:t xml:space="preserve">Targeted number of new houses in Core Strategy by 2031 – </w:t>
      </w:r>
      <w:r w:rsidRPr="00603410">
        <w:rPr>
          <w:rFonts w:asciiTheme="minorHAnsi" w:hAnsiTheme="minorHAnsi" w:cstheme="minorHAnsi"/>
          <w:b/>
          <w:bCs/>
          <w:sz w:val="22"/>
          <w:szCs w:val="22"/>
        </w:rPr>
        <w:t>84</w:t>
      </w:r>
    </w:p>
    <w:p w14:paraId="3FDCECEE" w14:textId="77777777" w:rsidR="00B44746" w:rsidRDefault="00B44746" w:rsidP="00B44746"/>
    <w:p w14:paraId="05AFCC4E" w14:textId="4887279D" w:rsidR="005137BC" w:rsidRDefault="005137BC" w:rsidP="005137BC">
      <w:r>
        <w:t xml:space="preserve">This has placed, and will continue to place, a huge and growing pressure on the infrastructure and calls into question whether the proposed SAP sites </w:t>
      </w:r>
      <w:r w:rsidR="00A4636F">
        <w:t>c</w:t>
      </w:r>
      <w:r>
        <w:t xml:space="preserve">ould be </w:t>
      </w:r>
      <w:r w:rsidR="00A4636F">
        <w:t>considered ‘S</w:t>
      </w:r>
      <w:r>
        <w:t xml:space="preserve">ustainable </w:t>
      </w:r>
      <w:r w:rsidR="00A4636F">
        <w:t>D</w:t>
      </w:r>
      <w:r>
        <w:t>evelopment</w:t>
      </w:r>
      <w:r w:rsidR="00A4636F">
        <w:t>’</w:t>
      </w:r>
      <w:r>
        <w:t xml:space="preserve"> in accordance with the NPPF.  Yet the SAP fails to provide any reference, thoughts or guidance as to how the infrastructure will cope or how it may be expanded.</w:t>
      </w:r>
    </w:p>
    <w:p w14:paraId="063B50E2" w14:textId="3D3D8B42" w:rsidR="00A4636F" w:rsidRDefault="005137BC" w:rsidP="005137BC">
      <w:pPr>
        <w:rPr>
          <w:i/>
          <w:noProof/>
        </w:rPr>
      </w:pPr>
      <w:r>
        <w:rPr>
          <w:noProof/>
        </w:rPr>
        <w:t xml:space="preserve">The explanation of policy SAP.1 further states at paragraph 2.1.16 that </w:t>
      </w:r>
      <w:r w:rsidR="00A4636F">
        <w:rPr>
          <w:noProof/>
        </w:rPr>
        <w:t>“</w:t>
      </w:r>
      <w:r w:rsidRPr="00A4636F">
        <w:rPr>
          <w:i/>
          <w:iCs/>
          <w:noProof/>
        </w:rPr>
        <w:t xml:space="preserve">the proposed </w:t>
      </w:r>
      <w:r w:rsidRPr="00444FD7">
        <w:rPr>
          <w:i/>
          <w:noProof/>
        </w:rPr>
        <w:t>sites have been identified following a rigorous assessment of land parcels in the SHLAA and taking into account various technical evidence including in relation to infrastructure capacity</w:t>
      </w:r>
      <w:r w:rsidR="00A4636F">
        <w:rPr>
          <w:i/>
          <w:noProof/>
        </w:rPr>
        <w:t>”.</w:t>
      </w:r>
      <w:r>
        <w:rPr>
          <w:i/>
          <w:noProof/>
        </w:rPr>
        <w:t xml:space="preserve"> </w:t>
      </w:r>
    </w:p>
    <w:p w14:paraId="094BF3AF" w14:textId="77777777" w:rsidR="00A4636F" w:rsidRDefault="005137BC" w:rsidP="005137BC">
      <w:pPr>
        <w:rPr>
          <w:noProof/>
        </w:rPr>
      </w:pPr>
      <w:r w:rsidRPr="00444FD7">
        <w:rPr>
          <w:noProof/>
        </w:rPr>
        <w:t>There seems no evidence</w:t>
      </w:r>
      <w:r>
        <w:rPr>
          <w:i/>
          <w:noProof/>
        </w:rPr>
        <w:t xml:space="preserve"> </w:t>
      </w:r>
      <w:r w:rsidRPr="00444FD7">
        <w:rPr>
          <w:noProof/>
        </w:rPr>
        <w:t>of the process for this rigorous assessment</w:t>
      </w:r>
      <w:r>
        <w:rPr>
          <w:noProof/>
        </w:rPr>
        <w:t xml:space="preserve"> of land parcels</w:t>
      </w:r>
      <w:r w:rsidRPr="00444FD7">
        <w:rPr>
          <w:noProof/>
        </w:rPr>
        <w:t xml:space="preserve">, nor </w:t>
      </w:r>
      <w:r>
        <w:rPr>
          <w:noProof/>
        </w:rPr>
        <w:t>of</w:t>
      </w:r>
      <w:r w:rsidRPr="00444FD7">
        <w:rPr>
          <w:noProof/>
        </w:rPr>
        <w:t xml:space="preserve"> the evidence in relation to infrastructure </w:t>
      </w:r>
      <w:r>
        <w:rPr>
          <w:noProof/>
        </w:rPr>
        <w:t xml:space="preserve">capacity. </w:t>
      </w:r>
    </w:p>
    <w:p w14:paraId="0568CB3B" w14:textId="2BB2253C" w:rsidR="005137BC" w:rsidRDefault="005137BC" w:rsidP="005137BC">
      <w:pPr>
        <w:rPr>
          <w:noProof/>
        </w:rPr>
      </w:pPr>
      <w:r>
        <w:rPr>
          <w:noProof/>
        </w:rPr>
        <w:t xml:space="preserve">For example in Welford-on-Avon this evidence would show the lack of capacity at the village primary school and in the antiquated and under-capacity sewage system, and the lack of road capacity in supporting the two </w:t>
      </w:r>
      <w:r w:rsidR="00A4636F">
        <w:rPr>
          <w:noProof/>
        </w:rPr>
        <w:t>‘</w:t>
      </w:r>
      <w:r w:rsidRPr="007F644D">
        <w:rPr>
          <w:noProof/>
        </w:rPr>
        <w:t>pinch points</w:t>
      </w:r>
      <w:r w:rsidR="00A4636F" w:rsidRPr="007F644D">
        <w:rPr>
          <w:noProof/>
        </w:rPr>
        <w:t xml:space="preserve">’ </w:t>
      </w:r>
      <w:r w:rsidRPr="007F644D">
        <w:rPr>
          <w:noProof/>
        </w:rPr>
        <w:t>on the main road through the village.</w:t>
      </w:r>
    </w:p>
    <w:p w14:paraId="6C4B2BB6" w14:textId="77777777" w:rsidR="008A13E5" w:rsidRPr="007F644D" w:rsidRDefault="008A13E5" w:rsidP="005137BC">
      <w:pPr>
        <w:rPr>
          <w:noProof/>
        </w:rPr>
      </w:pPr>
    </w:p>
    <w:p w14:paraId="741E2BC6" w14:textId="28313E4F" w:rsidR="000F4114" w:rsidRPr="007F644D" w:rsidRDefault="007F644D" w:rsidP="005137BC">
      <w:pPr>
        <w:rPr>
          <w:b/>
          <w:bCs/>
          <w:noProof/>
        </w:rPr>
      </w:pPr>
      <w:r w:rsidRPr="007F644D">
        <w:rPr>
          <w:b/>
          <w:bCs/>
          <w:noProof/>
        </w:rPr>
        <w:lastRenderedPageBreak/>
        <w:t>2.6</w:t>
      </w:r>
      <w:r w:rsidRPr="007F644D">
        <w:rPr>
          <w:b/>
          <w:bCs/>
          <w:noProof/>
        </w:rPr>
        <w:tab/>
        <w:t>Self &amp; Custon Build Policy – unanswered questions</w:t>
      </w:r>
      <w:r w:rsidR="00347C0F">
        <w:rPr>
          <w:b/>
          <w:bCs/>
          <w:noProof/>
        </w:rPr>
        <w:t xml:space="preserve"> ?</w:t>
      </w:r>
    </w:p>
    <w:p w14:paraId="5699C7FF" w14:textId="1016AD45" w:rsidR="00347C0F" w:rsidRPr="00347C0F" w:rsidRDefault="007F644D" w:rsidP="00347C0F">
      <w:pPr>
        <w:rPr>
          <w:rFonts w:eastAsia="Times New Roman" w:cstheme="minorHAnsi"/>
          <w:color w:val="000000"/>
        </w:rPr>
      </w:pPr>
      <w:r w:rsidRPr="00347C0F">
        <w:rPr>
          <w:rFonts w:eastAsia="Times New Roman" w:cstheme="minorHAnsi"/>
          <w:color w:val="000000"/>
        </w:rPr>
        <w:t>The Self &amp; Custom Build policy section of the SAP seems not to address the</w:t>
      </w:r>
      <w:r w:rsidR="00347C0F" w:rsidRPr="00347C0F">
        <w:rPr>
          <w:rFonts w:eastAsia="Times New Roman" w:cstheme="minorHAnsi"/>
          <w:color w:val="000000"/>
        </w:rPr>
        <w:t xml:space="preserve"> following</w:t>
      </w:r>
      <w:r w:rsidRPr="00347C0F">
        <w:rPr>
          <w:rFonts w:eastAsia="Times New Roman" w:cstheme="minorHAnsi"/>
          <w:color w:val="000000"/>
        </w:rPr>
        <w:t xml:space="preserve"> questions</w:t>
      </w:r>
      <w:r w:rsidR="00347C0F" w:rsidRPr="00347C0F">
        <w:rPr>
          <w:rFonts w:eastAsia="Times New Roman" w:cstheme="minorHAnsi"/>
          <w:color w:val="000000"/>
        </w:rPr>
        <w:t>:</w:t>
      </w:r>
    </w:p>
    <w:p w14:paraId="16D9532F" w14:textId="2D01849F" w:rsidR="00347C0F" w:rsidRPr="00347C0F" w:rsidRDefault="007F644D" w:rsidP="00347C0F">
      <w:pPr>
        <w:pStyle w:val="ListParagraph"/>
        <w:numPr>
          <w:ilvl w:val="0"/>
          <w:numId w:val="10"/>
        </w:numPr>
        <w:rPr>
          <w:rFonts w:asciiTheme="minorHAnsi" w:hAnsiTheme="minorHAnsi" w:cstheme="minorHAnsi"/>
          <w:color w:val="000000"/>
          <w:sz w:val="22"/>
          <w:szCs w:val="22"/>
        </w:rPr>
      </w:pPr>
      <w:r w:rsidRPr="00347C0F">
        <w:rPr>
          <w:rFonts w:asciiTheme="minorHAnsi" w:hAnsiTheme="minorHAnsi" w:cstheme="minorHAnsi"/>
          <w:color w:val="000000"/>
          <w:sz w:val="22"/>
          <w:szCs w:val="22"/>
        </w:rPr>
        <w:t>Are the houses built under SAP</w:t>
      </w:r>
      <w:r w:rsidR="00347C0F" w:rsidRPr="00347C0F">
        <w:rPr>
          <w:rFonts w:asciiTheme="minorHAnsi" w:hAnsiTheme="minorHAnsi" w:cstheme="minorHAnsi"/>
          <w:color w:val="000000"/>
          <w:sz w:val="22"/>
          <w:szCs w:val="22"/>
        </w:rPr>
        <w:t xml:space="preserve"> Policy </w:t>
      </w:r>
      <w:r w:rsidRPr="00347C0F">
        <w:rPr>
          <w:rFonts w:asciiTheme="minorHAnsi" w:hAnsiTheme="minorHAnsi" w:cstheme="minorHAnsi"/>
          <w:color w:val="000000"/>
          <w:sz w:val="22"/>
          <w:szCs w:val="22"/>
        </w:rPr>
        <w:t>3 part of</w:t>
      </w:r>
      <w:r w:rsidR="00347C0F" w:rsidRPr="00347C0F">
        <w:rPr>
          <w:rFonts w:asciiTheme="minorHAnsi" w:hAnsiTheme="minorHAnsi" w:cstheme="minorHAnsi"/>
          <w:color w:val="000000"/>
          <w:sz w:val="22"/>
          <w:szCs w:val="22"/>
        </w:rPr>
        <w:t xml:space="preserve">, </w:t>
      </w:r>
      <w:r w:rsidRPr="00347C0F">
        <w:rPr>
          <w:rFonts w:asciiTheme="minorHAnsi" w:hAnsiTheme="minorHAnsi" w:cstheme="minorHAnsi"/>
          <w:color w:val="000000"/>
          <w:sz w:val="22"/>
          <w:szCs w:val="22"/>
        </w:rPr>
        <w:t>or in addition to</w:t>
      </w:r>
      <w:r w:rsidR="00347C0F" w:rsidRPr="00347C0F">
        <w:rPr>
          <w:rFonts w:asciiTheme="minorHAnsi" w:hAnsiTheme="minorHAnsi" w:cstheme="minorHAnsi"/>
          <w:color w:val="000000"/>
          <w:sz w:val="22"/>
          <w:szCs w:val="22"/>
        </w:rPr>
        <w:t>,</w:t>
      </w:r>
      <w:r w:rsidRPr="00347C0F">
        <w:rPr>
          <w:rFonts w:asciiTheme="minorHAnsi" w:hAnsiTheme="minorHAnsi" w:cstheme="minorHAnsi"/>
          <w:color w:val="000000"/>
          <w:sz w:val="22"/>
          <w:szCs w:val="22"/>
        </w:rPr>
        <w:t xml:space="preserve"> the 14</w:t>
      </w:r>
      <w:r w:rsidR="00347C0F" w:rsidRPr="00347C0F">
        <w:rPr>
          <w:rFonts w:asciiTheme="minorHAnsi" w:hAnsiTheme="minorHAnsi" w:cstheme="minorHAnsi"/>
          <w:color w:val="000000"/>
          <w:sz w:val="22"/>
          <w:szCs w:val="22"/>
        </w:rPr>
        <w:t>,</w:t>
      </w:r>
      <w:r w:rsidRPr="00347C0F">
        <w:rPr>
          <w:rFonts w:asciiTheme="minorHAnsi" w:hAnsiTheme="minorHAnsi" w:cstheme="minorHAnsi"/>
          <w:color w:val="000000"/>
          <w:sz w:val="22"/>
          <w:szCs w:val="22"/>
        </w:rPr>
        <w:t xml:space="preserve">600 </w:t>
      </w:r>
      <w:proofErr w:type="gramStart"/>
      <w:r w:rsidRPr="00347C0F">
        <w:rPr>
          <w:rFonts w:asciiTheme="minorHAnsi" w:hAnsiTheme="minorHAnsi" w:cstheme="minorHAnsi"/>
          <w:color w:val="000000"/>
          <w:sz w:val="22"/>
          <w:szCs w:val="22"/>
        </w:rPr>
        <w:t>target</w:t>
      </w:r>
      <w:proofErr w:type="gramEnd"/>
      <w:r w:rsidRPr="00347C0F">
        <w:rPr>
          <w:rFonts w:asciiTheme="minorHAnsi" w:hAnsiTheme="minorHAnsi" w:cstheme="minorHAnsi"/>
          <w:color w:val="000000"/>
          <w:sz w:val="22"/>
          <w:szCs w:val="22"/>
        </w:rPr>
        <w:t xml:space="preserve"> for the district?</w:t>
      </w:r>
    </w:p>
    <w:p w14:paraId="53FF41BD" w14:textId="2E499637" w:rsidR="00347C0F" w:rsidRPr="00347C0F" w:rsidRDefault="007F644D" w:rsidP="00347C0F">
      <w:pPr>
        <w:pStyle w:val="ListParagraph"/>
        <w:numPr>
          <w:ilvl w:val="0"/>
          <w:numId w:val="10"/>
        </w:numPr>
        <w:rPr>
          <w:rFonts w:asciiTheme="minorHAnsi" w:hAnsiTheme="minorHAnsi" w:cstheme="minorHAnsi"/>
          <w:color w:val="000000"/>
          <w:sz w:val="22"/>
          <w:szCs w:val="22"/>
        </w:rPr>
      </w:pPr>
      <w:r w:rsidRPr="00347C0F">
        <w:rPr>
          <w:rFonts w:asciiTheme="minorHAnsi" w:hAnsiTheme="minorHAnsi" w:cstheme="minorHAnsi"/>
          <w:color w:val="000000"/>
          <w:sz w:val="22"/>
          <w:szCs w:val="22"/>
        </w:rPr>
        <w:t>Are these houses part of</w:t>
      </w:r>
      <w:r w:rsidR="00347C0F" w:rsidRPr="00347C0F">
        <w:rPr>
          <w:rFonts w:asciiTheme="minorHAnsi" w:hAnsiTheme="minorHAnsi" w:cstheme="minorHAnsi"/>
          <w:color w:val="000000"/>
          <w:sz w:val="22"/>
          <w:szCs w:val="22"/>
        </w:rPr>
        <w:t xml:space="preserve">, </w:t>
      </w:r>
      <w:r w:rsidRPr="00347C0F">
        <w:rPr>
          <w:rFonts w:asciiTheme="minorHAnsi" w:hAnsiTheme="minorHAnsi" w:cstheme="minorHAnsi"/>
          <w:color w:val="000000"/>
          <w:sz w:val="22"/>
          <w:szCs w:val="22"/>
        </w:rPr>
        <w:t>or in addition to</w:t>
      </w:r>
      <w:r w:rsidR="00347C0F" w:rsidRPr="00347C0F">
        <w:rPr>
          <w:rFonts w:asciiTheme="minorHAnsi" w:hAnsiTheme="minorHAnsi" w:cstheme="minorHAnsi"/>
          <w:color w:val="000000"/>
          <w:sz w:val="22"/>
          <w:szCs w:val="22"/>
        </w:rPr>
        <w:t>,</w:t>
      </w:r>
      <w:r w:rsidRPr="00347C0F">
        <w:rPr>
          <w:rFonts w:asciiTheme="minorHAnsi" w:hAnsiTheme="minorHAnsi" w:cstheme="minorHAnsi"/>
          <w:color w:val="000000"/>
          <w:sz w:val="22"/>
          <w:szCs w:val="22"/>
        </w:rPr>
        <w:t xml:space="preserve"> the 84 homes allocated to Welford by Core Strategy CS.16</w:t>
      </w:r>
      <w:r w:rsidR="00347C0F" w:rsidRPr="00347C0F">
        <w:rPr>
          <w:rFonts w:asciiTheme="minorHAnsi" w:hAnsiTheme="minorHAnsi" w:cstheme="minorHAnsi"/>
          <w:color w:val="000000"/>
          <w:sz w:val="22"/>
          <w:szCs w:val="22"/>
        </w:rPr>
        <w:t>?</w:t>
      </w:r>
    </w:p>
    <w:p w14:paraId="6EB16160" w14:textId="58147646" w:rsidR="007F644D" w:rsidRPr="00347C0F" w:rsidRDefault="007F644D" w:rsidP="00347C0F">
      <w:pPr>
        <w:pStyle w:val="ListParagraph"/>
        <w:numPr>
          <w:ilvl w:val="0"/>
          <w:numId w:val="10"/>
        </w:numPr>
        <w:rPr>
          <w:rFonts w:asciiTheme="minorHAnsi" w:hAnsiTheme="minorHAnsi" w:cstheme="minorHAnsi"/>
          <w:color w:val="000000"/>
          <w:sz w:val="22"/>
          <w:szCs w:val="22"/>
        </w:rPr>
      </w:pPr>
      <w:r w:rsidRPr="00347C0F">
        <w:rPr>
          <w:rFonts w:asciiTheme="minorHAnsi" w:hAnsiTheme="minorHAnsi" w:cstheme="minorHAnsi"/>
          <w:color w:val="000000"/>
          <w:sz w:val="22"/>
          <w:szCs w:val="22"/>
        </w:rPr>
        <w:t>Why are 100 sites allocated across the district? Is this number supported by any evidence or is it just the total number 'promoted by the landowner' as in section 3.1.7?</w:t>
      </w:r>
      <w:r w:rsidR="00347C0F" w:rsidRPr="00347C0F">
        <w:rPr>
          <w:rFonts w:asciiTheme="minorHAnsi" w:hAnsiTheme="minorHAnsi" w:cstheme="minorHAnsi"/>
          <w:color w:val="000000"/>
          <w:sz w:val="22"/>
          <w:szCs w:val="22"/>
        </w:rPr>
        <w:t xml:space="preserve"> please provide detailed evidence.</w:t>
      </w:r>
    </w:p>
    <w:p w14:paraId="7C08A707" w14:textId="77777777" w:rsidR="000F4114" w:rsidRPr="00444FD7" w:rsidRDefault="000F4114" w:rsidP="005137BC">
      <w:pPr>
        <w:rPr>
          <w:noProof/>
        </w:rPr>
      </w:pPr>
    </w:p>
    <w:p w14:paraId="51E8B2CB" w14:textId="72FCC41B" w:rsidR="000F4114" w:rsidRPr="000F4114" w:rsidRDefault="00F5403C" w:rsidP="000F4114">
      <w:pPr>
        <w:ind w:firstLine="720"/>
        <w:rPr>
          <w:b/>
          <w:bCs/>
          <w:sz w:val="28"/>
          <w:szCs w:val="28"/>
        </w:rPr>
      </w:pPr>
      <w:r>
        <w:rPr>
          <w:b/>
          <w:bCs/>
          <w:sz w:val="28"/>
          <w:szCs w:val="28"/>
        </w:rPr>
        <w:t>3)</w:t>
      </w:r>
      <w:r>
        <w:rPr>
          <w:b/>
          <w:bCs/>
          <w:sz w:val="28"/>
          <w:szCs w:val="28"/>
        </w:rPr>
        <w:tab/>
      </w:r>
      <w:r w:rsidR="00A4636F" w:rsidRPr="0048016C">
        <w:rPr>
          <w:b/>
          <w:bCs/>
          <w:sz w:val="28"/>
          <w:szCs w:val="28"/>
        </w:rPr>
        <w:t>Housing Distribution and Allocations</w:t>
      </w:r>
    </w:p>
    <w:p w14:paraId="29800790" w14:textId="448232EE" w:rsidR="005137BC" w:rsidRDefault="0048016C" w:rsidP="0048016C">
      <w:pPr>
        <w:rPr>
          <w:b/>
        </w:rPr>
      </w:pPr>
      <w:r>
        <w:rPr>
          <w:b/>
        </w:rPr>
        <w:t>3.</w:t>
      </w:r>
      <w:r w:rsidRPr="007D12DE">
        <w:rPr>
          <w:b/>
        </w:rPr>
        <w:t xml:space="preserve">1 </w:t>
      </w:r>
      <w:r>
        <w:rPr>
          <w:b/>
        </w:rPr>
        <w:tab/>
      </w:r>
      <w:r w:rsidRPr="007D12DE">
        <w:rPr>
          <w:b/>
        </w:rPr>
        <w:t>Housing</w:t>
      </w:r>
      <w:r>
        <w:rPr>
          <w:b/>
        </w:rPr>
        <w:t xml:space="preserve"> </w:t>
      </w:r>
      <w:r w:rsidR="005137BC">
        <w:rPr>
          <w:b/>
        </w:rPr>
        <w:t>Distribution</w:t>
      </w:r>
    </w:p>
    <w:p w14:paraId="6DEDFFA2" w14:textId="14CED2F4" w:rsidR="005137BC" w:rsidRDefault="005137BC" w:rsidP="005137BC">
      <w:r w:rsidRPr="00990D4A">
        <w:t>The Site Allocation</w:t>
      </w:r>
      <w:r w:rsidR="0070164E">
        <w:t>s</w:t>
      </w:r>
      <w:r w:rsidRPr="00990D4A">
        <w:t xml:space="preserve"> Plan does not comply with Core Strategy Policies CS.15 or AS.10</w:t>
      </w:r>
      <w:r w:rsidR="0048016C">
        <w:t xml:space="preserve">. </w:t>
      </w:r>
      <w:r>
        <w:t>Para 2.1.9 of the Site Allocation</w:t>
      </w:r>
      <w:r w:rsidR="0070164E">
        <w:t>s</w:t>
      </w:r>
      <w:r>
        <w:t xml:space="preserve"> Plan says </w:t>
      </w:r>
      <w:r w:rsidRPr="0048016C">
        <w:rPr>
          <w:i/>
          <w:iCs/>
        </w:rPr>
        <w:t xml:space="preserve">“Policy CS.15 of the Core Strategy sets out the distribution of development across the District, promoting a pattern of balanced dispersal in settlements which </w:t>
      </w:r>
      <w:r w:rsidR="0048016C" w:rsidRPr="0048016C">
        <w:rPr>
          <w:i/>
          <w:iCs/>
        </w:rPr>
        <w:t>are</w:t>
      </w:r>
      <w:r w:rsidRPr="0048016C">
        <w:rPr>
          <w:i/>
          <w:iCs/>
        </w:rPr>
        <w:t xml:space="preserve"> sustainable locations for development. It is appropriate for the location and nature of reserve sites to be consistent with the distribution of housing development established in Policy CS.15.”</w:t>
      </w:r>
      <w:r>
        <w:t xml:space="preserve">  </w:t>
      </w:r>
    </w:p>
    <w:p w14:paraId="46CFE1E5" w14:textId="5D7F8995" w:rsidR="0048016C" w:rsidRDefault="005137BC" w:rsidP="005137BC">
      <w:r>
        <w:t xml:space="preserve">Policy CS.15 states that in Local Service Villages development will only take place on sites identified in the Neighbourhood </w:t>
      </w:r>
      <w:r w:rsidR="0048016C">
        <w:t xml:space="preserve">Development </w:t>
      </w:r>
      <w:r>
        <w:t xml:space="preserve">Plan or through small schemes on suitable sites </w:t>
      </w:r>
      <w:r w:rsidRPr="0048016C">
        <w:rPr>
          <w:b/>
          <w:bCs/>
        </w:rPr>
        <w:t>within</w:t>
      </w:r>
      <w:r>
        <w:t xml:space="preserve"> the Built-</w:t>
      </w:r>
      <w:r w:rsidR="0048016C">
        <w:t>u</w:t>
      </w:r>
      <w:r>
        <w:t xml:space="preserve">p </w:t>
      </w:r>
      <w:r w:rsidR="0048016C">
        <w:t xml:space="preserve">Area </w:t>
      </w:r>
      <w:r>
        <w:t>Boundary (where defined). The sites at Welford</w:t>
      </w:r>
      <w:r w:rsidR="0048016C">
        <w:t>-</w:t>
      </w:r>
      <w:r>
        <w:t>on</w:t>
      </w:r>
      <w:r w:rsidR="0048016C">
        <w:t>-</w:t>
      </w:r>
      <w:r>
        <w:t>Avon identified in the Site Allocation</w:t>
      </w:r>
      <w:r w:rsidR="0070164E">
        <w:t>s</w:t>
      </w:r>
      <w:r>
        <w:t xml:space="preserve"> Plan are all outside the defined </w:t>
      </w:r>
      <w:r w:rsidR="0048016C">
        <w:t>B</w:t>
      </w:r>
      <w:r>
        <w:t xml:space="preserve">uilt-up </w:t>
      </w:r>
      <w:r w:rsidR="0048016C">
        <w:t>Area B</w:t>
      </w:r>
      <w:r>
        <w:t>oundar</w:t>
      </w:r>
      <w:r w:rsidR="0048016C">
        <w:t>y</w:t>
      </w:r>
      <w:r>
        <w:t xml:space="preserve"> and therefore </w:t>
      </w:r>
      <w:r w:rsidR="0048016C">
        <w:t>is</w:t>
      </w:r>
      <w:r>
        <w:t xml:space="preserve"> not consistent with </w:t>
      </w:r>
      <w:r w:rsidR="0048016C">
        <w:t xml:space="preserve">Core Strategy Policy </w:t>
      </w:r>
      <w:r>
        <w:t xml:space="preserve">CS.15.  </w:t>
      </w:r>
    </w:p>
    <w:p w14:paraId="457AB5E3" w14:textId="3019EF86" w:rsidR="005137BC" w:rsidRDefault="005137BC" w:rsidP="005137BC">
      <w:r>
        <w:t>The sites at Welford</w:t>
      </w:r>
      <w:r w:rsidR="0048016C">
        <w:t xml:space="preserve">-on-Avon </w:t>
      </w:r>
      <w:r>
        <w:t xml:space="preserve">are therefore contrary to both </w:t>
      </w:r>
      <w:r w:rsidR="0048016C">
        <w:t xml:space="preserve">Core Strategy </w:t>
      </w:r>
      <w:r>
        <w:t>Policies CS.15 and AS.10</w:t>
      </w:r>
      <w:r w:rsidR="0048016C">
        <w:t>,</w:t>
      </w:r>
      <w:r>
        <w:t xml:space="preserve"> which seek to ensure that development within the District is distributed in a pattern of balanced dispersal, and should be removed from the list.</w:t>
      </w:r>
    </w:p>
    <w:p w14:paraId="14047281" w14:textId="6F6B11BD" w:rsidR="005137BC" w:rsidRPr="009D1C94" w:rsidRDefault="0048016C" w:rsidP="005137BC">
      <w:pPr>
        <w:rPr>
          <w:b/>
        </w:rPr>
      </w:pPr>
      <w:r>
        <w:rPr>
          <w:b/>
        </w:rPr>
        <w:t>3.</w:t>
      </w:r>
      <w:r w:rsidR="005137BC" w:rsidRPr="009D1C94">
        <w:rPr>
          <w:b/>
        </w:rPr>
        <w:t>2</w:t>
      </w:r>
      <w:r>
        <w:rPr>
          <w:b/>
        </w:rPr>
        <w:tab/>
      </w:r>
      <w:r w:rsidR="005137BC" w:rsidRPr="009D1C94">
        <w:rPr>
          <w:b/>
        </w:rPr>
        <w:t>Strategic allocation of homes</w:t>
      </w:r>
    </w:p>
    <w:p w14:paraId="09A977E3" w14:textId="00CDFE66" w:rsidR="005137BC" w:rsidRDefault="005137BC" w:rsidP="005137BC">
      <w:r>
        <w:t>The Site Allocation</w:t>
      </w:r>
      <w:r w:rsidR="0070164E">
        <w:t>s</w:t>
      </w:r>
      <w:r>
        <w:t xml:space="preserve"> Plan is not consistent with Policy CS.16 of the Core Strategy, the Inspector’s</w:t>
      </w:r>
      <w:r w:rsidR="0048016C">
        <w:t xml:space="preserve"> </w:t>
      </w:r>
      <w:r>
        <w:t>recommendations or the NPPF.</w:t>
      </w:r>
    </w:p>
    <w:p w14:paraId="678D2A17" w14:textId="77777777" w:rsidR="005137BC" w:rsidRPr="00F40DBF" w:rsidRDefault="005137BC" w:rsidP="005137BC">
      <w:r w:rsidRPr="00990D4A">
        <w:t>Para</w:t>
      </w:r>
      <w:r>
        <w:t xml:space="preserve">s 102 and 103 of the NPPF recommend that the planning system should manage patterns of growth to support the objectives of promoting walking and </w:t>
      </w:r>
      <w:r w:rsidRPr="00F40DBF">
        <w:t xml:space="preserve">cycling and </w:t>
      </w:r>
      <w:r>
        <w:t>offering a genuine choice of transport modes.</w:t>
      </w:r>
    </w:p>
    <w:p w14:paraId="1700B800" w14:textId="77777777" w:rsidR="0048016C" w:rsidRDefault="005137BC" w:rsidP="005137BC">
      <w:r>
        <w:t xml:space="preserve">In his Interim Core Strategy Report the Inspector expressed concern over the large number of houses proposed in local service villages.  </w:t>
      </w:r>
    </w:p>
    <w:p w14:paraId="3989EA08" w14:textId="546656CE" w:rsidR="005137BC" w:rsidRPr="00F5403C" w:rsidRDefault="005137BC" w:rsidP="005137BC">
      <w:pPr>
        <w:rPr>
          <w:i/>
          <w:iCs/>
        </w:rPr>
      </w:pPr>
      <w:r>
        <w:t xml:space="preserve">In para 201 of his report he says that any increase in the number of houses proposed at </w:t>
      </w:r>
      <w:r w:rsidR="0048016C">
        <w:t>LSV’s</w:t>
      </w:r>
      <w:r>
        <w:t xml:space="preserve"> (ie</w:t>
      </w:r>
      <w:r w:rsidR="0048016C">
        <w:t>:</w:t>
      </w:r>
      <w:r>
        <w:t xml:space="preserve"> 2,000) would have to be robustly justified by the council.  He also refers to a statement that </w:t>
      </w:r>
      <w:r w:rsidRPr="00F5403C">
        <w:rPr>
          <w:i/>
          <w:iCs/>
        </w:rPr>
        <w:t>“an over-reliance on dispersing development to smaller villages would not be appropriate due to the impact this would have on their character and the need to travel longer distances, most likely by car, to shops, services, jobs, schools, etc.”</w:t>
      </w:r>
    </w:p>
    <w:p w14:paraId="6A7A37C5" w14:textId="79A54201" w:rsidR="005137BC" w:rsidRDefault="005137BC" w:rsidP="005137BC">
      <w:pPr>
        <w:rPr>
          <w:rFonts w:cstheme="minorHAnsi"/>
        </w:rPr>
      </w:pPr>
      <w:r w:rsidRPr="00D96545">
        <w:t>In the case of Welford</w:t>
      </w:r>
      <w:r w:rsidR="00F5403C">
        <w:t>-</w:t>
      </w:r>
      <w:r w:rsidRPr="00D96545">
        <w:t>on</w:t>
      </w:r>
      <w:r w:rsidR="00F5403C">
        <w:t>-</w:t>
      </w:r>
      <w:r w:rsidRPr="00D96545">
        <w:t>Avon, the Site Allocation</w:t>
      </w:r>
      <w:r w:rsidR="0070164E">
        <w:t>s</w:t>
      </w:r>
      <w:r w:rsidRPr="00D96545">
        <w:t xml:space="preserve"> Plan promotes </w:t>
      </w:r>
      <w:r w:rsidR="00F5403C">
        <w:t xml:space="preserve">91 additional houses in four </w:t>
      </w:r>
      <w:r w:rsidRPr="00D96545">
        <w:t>site</w:t>
      </w:r>
      <w:r w:rsidR="00F5403C">
        <w:t>s</w:t>
      </w:r>
      <w:r w:rsidRPr="00D96545">
        <w:t xml:space="preserve"> in locations which would lead to an increase in the journeys undertaken by car and where there is little </w:t>
      </w:r>
      <w:r w:rsidR="00F5403C">
        <w:t xml:space="preserve">or no </w:t>
      </w:r>
      <w:r w:rsidRPr="00D96545">
        <w:t xml:space="preserve">choice of </w:t>
      </w:r>
      <w:r w:rsidR="00F5403C">
        <w:t xml:space="preserve">alternate </w:t>
      </w:r>
      <w:r w:rsidRPr="00D96545">
        <w:t xml:space="preserve">transport modes.  </w:t>
      </w:r>
      <w:r w:rsidR="00F5403C">
        <w:t xml:space="preserve">This does not represent a balanced dispersal across the District and is </w:t>
      </w:r>
      <w:r w:rsidR="00F5403C" w:rsidRPr="00F5403C">
        <w:rPr>
          <w:rFonts w:cstheme="minorHAnsi"/>
        </w:rPr>
        <w:t>contrary to Core Strategy CS.16.</w:t>
      </w:r>
    </w:p>
    <w:p w14:paraId="626A3997" w14:textId="77777777" w:rsidR="000F4114" w:rsidRPr="00F5403C" w:rsidRDefault="000F4114" w:rsidP="005137BC">
      <w:pPr>
        <w:rPr>
          <w:rFonts w:cstheme="minorHAnsi"/>
        </w:rPr>
      </w:pPr>
    </w:p>
    <w:p w14:paraId="5075A8D5" w14:textId="2BD32DFA" w:rsidR="00660EB4" w:rsidRPr="00660EB4" w:rsidRDefault="005137BC" w:rsidP="00660EB4">
      <w:pPr>
        <w:pStyle w:val="ListParagraph"/>
        <w:numPr>
          <w:ilvl w:val="0"/>
          <w:numId w:val="5"/>
        </w:numPr>
        <w:rPr>
          <w:rFonts w:asciiTheme="minorHAnsi" w:hAnsiTheme="minorHAnsi" w:cstheme="minorHAnsi"/>
          <w:b/>
          <w:sz w:val="28"/>
          <w:szCs w:val="28"/>
        </w:rPr>
      </w:pPr>
      <w:r w:rsidRPr="00F5403C">
        <w:rPr>
          <w:rFonts w:asciiTheme="minorHAnsi" w:hAnsiTheme="minorHAnsi" w:cstheme="minorHAnsi"/>
          <w:b/>
          <w:sz w:val="28"/>
          <w:szCs w:val="28"/>
        </w:rPr>
        <w:t>Grade 2 agricultural land</w:t>
      </w:r>
    </w:p>
    <w:p w14:paraId="554F4CDB" w14:textId="77777777" w:rsidR="00660EB4" w:rsidRDefault="00660EB4" w:rsidP="005137BC">
      <w:pPr>
        <w:rPr>
          <w:rFonts w:cstheme="minorHAnsi"/>
        </w:rPr>
      </w:pPr>
    </w:p>
    <w:p w14:paraId="67F32FDF" w14:textId="53E20DFC" w:rsidR="005137BC" w:rsidRPr="0030215A" w:rsidRDefault="005137BC" w:rsidP="005137BC">
      <w:r w:rsidRPr="00F5403C">
        <w:rPr>
          <w:rFonts w:cstheme="minorHAnsi"/>
        </w:rPr>
        <w:t>The Site Allocation</w:t>
      </w:r>
      <w:r w:rsidR="0070164E">
        <w:rPr>
          <w:rFonts w:cstheme="minorHAnsi"/>
        </w:rPr>
        <w:t>s</w:t>
      </w:r>
      <w:r w:rsidRPr="00F5403C">
        <w:rPr>
          <w:rFonts w:cstheme="minorHAnsi"/>
        </w:rPr>
        <w:t xml:space="preserve"> Plan is not consistent with the NPPF and Policy AS.10.</w:t>
      </w:r>
      <w:r w:rsidR="00F5403C">
        <w:rPr>
          <w:rFonts w:cstheme="minorHAnsi"/>
        </w:rPr>
        <w:t xml:space="preserve"> </w:t>
      </w:r>
      <w:r>
        <w:t xml:space="preserve">Para 170 of the NPPF says that </w:t>
      </w:r>
      <w:r w:rsidR="00F5403C" w:rsidRPr="00F5403C">
        <w:rPr>
          <w:i/>
          <w:iCs/>
        </w:rPr>
        <w:t>“</w:t>
      </w:r>
      <w:r w:rsidRPr="00F5403C">
        <w:rPr>
          <w:i/>
          <w:iCs/>
        </w:rPr>
        <w:t xml:space="preserve">planning  policies and decisions should contribute to and enhance the natural and local environment by </w:t>
      </w:r>
      <w:r w:rsidRPr="00F5403C">
        <w:rPr>
          <w:i/>
          <w:iCs/>
        </w:rPr>
        <w:lastRenderedPageBreak/>
        <w:t>recognising the intrinsic character of the countryside, and the wider benefits from natural capital and ecosystem services – including the economic and other benefits of the best and most versatile agricultural land</w:t>
      </w:r>
      <w:r w:rsidR="00F5403C" w:rsidRPr="00F5403C">
        <w:rPr>
          <w:i/>
          <w:iCs/>
        </w:rPr>
        <w:t xml:space="preserve">”. </w:t>
      </w:r>
    </w:p>
    <w:p w14:paraId="13B9A0B9" w14:textId="77777777" w:rsidR="005137BC" w:rsidRDefault="005137BC" w:rsidP="005137BC">
      <w:pPr>
        <w:autoSpaceDE w:val="0"/>
        <w:autoSpaceDN w:val="0"/>
        <w:adjustRightInd w:val="0"/>
      </w:pPr>
      <w:r>
        <w:t xml:space="preserve">Policy AS.10 says that </w:t>
      </w:r>
      <w:r w:rsidRPr="00660EB4">
        <w:rPr>
          <w:b/>
          <w:bCs/>
        </w:rPr>
        <w:t>All</w:t>
      </w:r>
      <w:r w:rsidRPr="004F6C33">
        <w:t xml:space="preserve"> proposals will be thoroughly assessed against the principles of sustainable development, including the need to avoid the loss of large areas of higher quality agricultural land</w:t>
      </w:r>
      <w:r>
        <w:t>.</w:t>
      </w:r>
    </w:p>
    <w:p w14:paraId="5F5E3706" w14:textId="69698479" w:rsidR="005137BC" w:rsidRDefault="005137BC" w:rsidP="005137BC">
      <w:pPr>
        <w:autoSpaceDE w:val="0"/>
        <w:autoSpaceDN w:val="0"/>
        <w:adjustRightInd w:val="0"/>
      </w:pPr>
      <w:r>
        <w:t xml:space="preserve">In the NPPF </w:t>
      </w:r>
      <w:r w:rsidR="00660EB4" w:rsidRPr="00660EB4">
        <w:rPr>
          <w:i/>
          <w:iCs/>
        </w:rPr>
        <w:t>‘</w:t>
      </w:r>
      <w:r w:rsidRPr="00660EB4">
        <w:rPr>
          <w:i/>
          <w:iCs/>
        </w:rPr>
        <w:t>best and most versatile agricultural land</w:t>
      </w:r>
      <w:r w:rsidR="00660EB4" w:rsidRPr="00660EB4">
        <w:rPr>
          <w:i/>
          <w:iCs/>
        </w:rPr>
        <w:t>’</w:t>
      </w:r>
      <w:r>
        <w:t xml:space="preserve"> is defined as grades 1, 2, and 3a.  An inspection of Natural England’s Agricultural Land Classification Map show that for the whole of the West Midland east of the </w:t>
      </w:r>
      <w:r w:rsidR="00660EB4">
        <w:t>M5 is made up of grade 1, 2 and 3 land.</w:t>
      </w:r>
      <w:r>
        <w:t xml:space="preserve">  In </w:t>
      </w:r>
      <w:r w:rsidR="00660EB4">
        <w:t xml:space="preserve">Stratford </w:t>
      </w:r>
      <w:r>
        <w:t xml:space="preserve">District </w:t>
      </w:r>
      <w:r w:rsidR="00660EB4">
        <w:t xml:space="preserve">the </w:t>
      </w:r>
      <w:r>
        <w:t>map</w:t>
      </w:r>
      <w:r w:rsidR="00660EB4">
        <w:t xml:space="preserve"> shows</w:t>
      </w:r>
      <w:r>
        <w:t xml:space="preserve"> the best agricultural land </w:t>
      </w:r>
      <w:r w:rsidR="00660EB4">
        <w:t>as</w:t>
      </w:r>
      <w:r>
        <w:t xml:space="preserve"> grade 2.  It is of vital national interest that this land is protected and preserved to contribute to the country’s self-sufficiency for food. </w:t>
      </w:r>
    </w:p>
    <w:p w14:paraId="5DEFD481" w14:textId="223F5809" w:rsidR="005137BC" w:rsidRDefault="005137BC" w:rsidP="005137BC">
      <w:pPr>
        <w:autoSpaceDE w:val="0"/>
        <w:autoSpaceDN w:val="0"/>
        <w:adjustRightInd w:val="0"/>
        <w:rPr>
          <w:rFonts w:cstheme="minorHAnsi"/>
        </w:rPr>
      </w:pPr>
      <w:r>
        <w:t>Appendix VIII of the Site Allocation</w:t>
      </w:r>
      <w:r w:rsidR="0070164E">
        <w:t>s</w:t>
      </w:r>
      <w:r>
        <w:t xml:space="preserve"> Plan indicates land quality but does not distinguish between grade 2 and grade 3a land.  In respect of Welford</w:t>
      </w:r>
      <w:r w:rsidR="00660EB4">
        <w:t>-</w:t>
      </w:r>
      <w:r>
        <w:t>on</w:t>
      </w:r>
      <w:r w:rsidR="00660EB4">
        <w:t>-</w:t>
      </w:r>
      <w:r>
        <w:t>Avon a detailed classification was made on the land at site WELF.A and this show</w:t>
      </w:r>
      <w:r w:rsidR="00660EB4">
        <w:t>s</w:t>
      </w:r>
      <w:r>
        <w:t xml:space="preserve"> all the land to be grade 2. </w:t>
      </w:r>
      <w:r w:rsidR="00660EB4">
        <w:t>In addition,</w:t>
      </w:r>
      <w:r>
        <w:t xml:space="preserve"> the Natural England map suggests that the other sites in </w:t>
      </w:r>
      <w:r w:rsidRPr="000663C5">
        <w:rPr>
          <w:rFonts w:cstheme="minorHAnsi"/>
        </w:rPr>
        <w:t>Welford</w:t>
      </w:r>
      <w:r w:rsidR="00660EB4" w:rsidRPr="000663C5">
        <w:rPr>
          <w:rFonts w:cstheme="minorHAnsi"/>
        </w:rPr>
        <w:t>-on-Avon are on</w:t>
      </w:r>
      <w:r w:rsidRPr="000663C5">
        <w:rPr>
          <w:rFonts w:cstheme="minorHAnsi"/>
        </w:rPr>
        <w:t xml:space="preserve"> grade 2 land. </w:t>
      </w:r>
    </w:p>
    <w:p w14:paraId="0B499BA9" w14:textId="77777777" w:rsidR="000F4114" w:rsidRPr="000663C5" w:rsidRDefault="000F4114" w:rsidP="005137BC">
      <w:pPr>
        <w:autoSpaceDE w:val="0"/>
        <w:autoSpaceDN w:val="0"/>
        <w:adjustRightInd w:val="0"/>
        <w:rPr>
          <w:rFonts w:cstheme="minorHAnsi"/>
        </w:rPr>
      </w:pPr>
    </w:p>
    <w:p w14:paraId="37ABB35A" w14:textId="5503D66E" w:rsidR="005137BC" w:rsidRPr="000663C5" w:rsidRDefault="005137BC" w:rsidP="000663C5">
      <w:pPr>
        <w:pStyle w:val="ListParagraph"/>
        <w:numPr>
          <w:ilvl w:val="0"/>
          <w:numId w:val="5"/>
        </w:numPr>
        <w:autoSpaceDE w:val="0"/>
        <w:autoSpaceDN w:val="0"/>
        <w:adjustRightInd w:val="0"/>
        <w:rPr>
          <w:rFonts w:asciiTheme="minorHAnsi" w:hAnsiTheme="minorHAnsi" w:cstheme="minorHAnsi"/>
          <w:b/>
          <w:sz w:val="28"/>
          <w:szCs w:val="28"/>
        </w:rPr>
      </w:pPr>
      <w:r w:rsidRPr="000663C5">
        <w:rPr>
          <w:rFonts w:asciiTheme="minorHAnsi" w:hAnsiTheme="minorHAnsi" w:cstheme="minorHAnsi"/>
          <w:b/>
          <w:sz w:val="28"/>
          <w:szCs w:val="28"/>
        </w:rPr>
        <w:t xml:space="preserve">Infrastructure and </w:t>
      </w:r>
      <w:r w:rsidR="000663C5">
        <w:rPr>
          <w:rFonts w:asciiTheme="minorHAnsi" w:hAnsiTheme="minorHAnsi" w:cstheme="minorHAnsi"/>
          <w:b/>
          <w:sz w:val="28"/>
          <w:szCs w:val="28"/>
        </w:rPr>
        <w:t>Highways</w:t>
      </w:r>
    </w:p>
    <w:p w14:paraId="34BC8220" w14:textId="77777777" w:rsidR="000663C5" w:rsidRDefault="000663C5" w:rsidP="005137BC">
      <w:pPr>
        <w:autoSpaceDE w:val="0"/>
        <w:autoSpaceDN w:val="0"/>
        <w:adjustRightInd w:val="0"/>
        <w:rPr>
          <w:rFonts w:cstheme="minorHAnsi"/>
        </w:rPr>
      </w:pPr>
    </w:p>
    <w:p w14:paraId="510C537E" w14:textId="732122CA" w:rsidR="005137BC" w:rsidRPr="00A12270" w:rsidRDefault="005137BC" w:rsidP="005137BC">
      <w:pPr>
        <w:autoSpaceDE w:val="0"/>
        <w:autoSpaceDN w:val="0"/>
        <w:adjustRightInd w:val="0"/>
      </w:pPr>
      <w:r w:rsidRPr="000663C5">
        <w:rPr>
          <w:rFonts w:cstheme="minorHAnsi"/>
        </w:rPr>
        <w:t>The Site Allocation</w:t>
      </w:r>
      <w:r w:rsidR="0070164E">
        <w:rPr>
          <w:rFonts w:cstheme="minorHAnsi"/>
        </w:rPr>
        <w:t>s</w:t>
      </w:r>
      <w:r>
        <w:t xml:space="preserve"> Plan does not meet the requirements of the NPPF and does not take account of the sufficiency of the existing road network.</w:t>
      </w:r>
    </w:p>
    <w:p w14:paraId="56F3B517" w14:textId="0B08E527" w:rsidR="005137BC" w:rsidRDefault="005137BC" w:rsidP="005137BC">
      <w:pPr>
        <w:autoSpaceDE w:val="0"/>
        <w:autoSpaceDN w:val="0"/>
        <w:adjustRightInd w:val="0"/>
        <w:rPr>
          <w:b/>
        </w:rPr>
      </w:pPr>
      <w:r w:rsidRPr="00C8230F">
        <w:t xml:space="preserve">Para 20 of the </w:t>
      </w:r>
      <w:r>
        <w:t xml:space="preserve">NPPF says that </w:t>
      </w:r>
      <w:r w:rsidR="00254F4E" w:rsidRPr="00254F4E">
        <w:rPr>
          <w:i/>
          <w:iCs/>
        </w:rPr>
        <w:t>“</w:t>
      </w:r>
      <w:r w:rsidRPr="00254F4E">
        <w:rPr>
          <w:i/>
          <w:iCs/>
        </w:rPr>
        <w:t>strategic policies should make sufficient provision for infrastructure for transport</w:t>
      </w:r>
      <w:r w:rsidR="00254F4E" w:rsidRPr="00254F4E">
        <w:rPr>
          <w:i/>
          <w:iCs/>
        </w:rPr>
        <w:t>”</w:t>
      </w:r>
      <w:r w:rsidRPr="00254F4E">
        <w:rPr>
          <w:i/>
          <w:iCs/>
        </w:rPr>
        <w:t>.</w:t>
      </w:r>
      <w:r>
        <w:t xml:space="preserve">  It is only sensible that development be restricted to locations where the road infrastructure is sufficient to cater for the increased traffic.  </w:t>
      </w:r>
    </w:p>
    <w:p w14:paraId="1A7E0F1A" w14:textId="61CBAE0B" w:rsidR="005137BC" w:rsidRPr="00254F4E" w:rsidRDefault="00254F4E" w:rsidP="005137BC">
      <w:pPr>
        <w:autoSpaceDE w:val="0"/>
        <w:autoSpaceDN w:val="0"/>
        <w:adjustRightInd w:val="0"/>
        <w:rPr>
          <w:i/>
          <w:iCs/>
        </w:rPr>
      </w:pPr>
      <w:r>
        <w:t>On the</w:t>
      </w:r>
      <w:r w:rsidR="005137BC" w:rsidRPr="006505B1">
        <w:t xml:space="preserve"> 5</w:t>
      </w:r>
      <w:r w:rsidRPr="00254F4E">
        <w:rPr>
          <w:vertAlign w:val="superscript"/>
        </w:rPr>
        <w:t>th</w:t>
      </w:r>
      <w:r>
        <w:t xml:space="preserve"> </w:t>
      </w:r>
      <w:r w:rsidR="005137BC" w:rsidRPr="006505B1">
        <w:t xml:space="preserve">February 2019 in respect of a Planning Application for 35 houses </w:t>
      </w:r>
      <w:r>
        <w:t xml:space="preserve">on Reserve Site A </w:t>
      </w:r>
      <w:r w:rsidR="005137BC" w:rsidRPr="006505B1">
        <w:t>in Welford</w:t>
      </w:r>
      <w:r>
        <w:t xml:space="preserve"> (Milcote Road)</w:t>
      </w:r>
      <w:r w:rsidR="005137BC">
        <w:t xml:space="preserve">, WCC Highways stated </w:t>
      </w:r>
      <w:r w:rsidR="005137BC" w:rsidRPr="00254F4E">
        <w:rPr>
          <w:i/>
          <w:iCs/>
        </w:rPr>
        <w:t>“At present the Highway Authority has concluded that the</w:t>
      </w:r>
      <w:r>
        <w:rPr>
          <w:i/>
          <w:iCs/>
        </w:rPr>
        <w:t>re</w:t>
      </w:r>
      <w:r w:rsidR="005137BC" w:rsidRPr="00254F4E">
        <w:rPr>
          <w:i/>
          <w:iCs/>
        </w:rPr>
        <w:t xml:space="preserve"> is insufficient capacity to accommodate significant levels of development south of the River Avon without the provision of a further crossing in the form of the South Western Relief Road.”</w:t>
      </w:r>
    </w:p>
    <w:p w14:paraId="07DFE6FA" w14:textId="04C42AB0" w:rsidR="00254F4E" w:rsidRDefault="005137BC" w:rsidP="005137BC">
      <w:pPr>
        <w:autoSpaceDE w:val="0"/>
        <w:autoSpaceDN w:val="0"/>
        <w:adjustRightInd w:val="0"/>
      </w:pPr>
      <w:r>
        <w:t xml:space="preserve">Local Service Villages </w:t>
      </w:r>
      <w:r w:rsidR="005D0B52">
        <w:t>S</w:t>
      </w:r>
      <w:r>
        <w:t xml:space="preserve">outh of the River Avon include Clifford Chambers, Ettington, Halford, Long Compton, Long Marston, Loxley, Quinton, Tiddington, and Welford on Avon.  </w:t>
      </w:r>
    </w:p>
    <w:p w14:paraId="3C1C9D06" w14:textId="59409133" w:rsidR="005137BC" w:rsidRDefault="005137BC" w:rsidP="005137BC">
      <w:pPr>
        <w:autoSpaceDE w:val="0"/>
        <w:autoSpaceDN w:val="0"/>
        <w:adjustRightInd w:val="0"/>
      </w:pPr>
      <w:r>
        <w:t>The Site Allocation</w:t>
      </w:r>
      <w:r w:rsidR="0070164E">
        <w:t>s</w:t>
      </w:r>
      <w:r>
        <w:t xml:space="preserve"> Plan identifies 628 </w:t>
      </w:r>
      <w:r w:rsidR="00254F4E">
        <w:t>houses on R</w:t>
      </w:r>
      <w:r>
        <w:t xml:space="preserve">eserve </w:t>
      </w:r>
      <w:r w:rsidR="00254F4E">
        <w:t>S</w:t>
      </w:r>
      <w:r>
        <w:t xml:space="preserve">ites and </w:t>
      </w:r>
      <w:r w:rsidR="00254F4E">
        <w:t>S</w:t>
      </w:r>
      <w:r>
        <w:t>elf-</w:t>
      </w:r>
      <w:r w:rsidR="00254F4E">
        <w:t>B</w:t>
      </w:r>
      <w:r>
        <w:t xml:space="preserve">uild </w:t>
      </w:r>
      <w:r w:rsidR="00254F4E">
        <w:t>P</w:t>
      </w:r>
      <w:r>
        <w:t>lots in these villages</w:t>
      </w:r>
      <w:r w:rsidR="00254F4E">
        <w:t xml:space="preserve"> and is a</w:t>
      </w:r>
      <w:r>
        <w:t xml:space="preserve"> great deal more than the 35 which caused concern to WCC Highways</w:t>
      </w:r>
      <w:r w:rsidR="00254F4E">
        <w:t>,</w:t>
      </w:r>
      <w:r>
        <w:t xml:space="preserve"> </w:t>
      </w:r>
      <w:r w:rsidR="00254F4E">
        <w:t xml:space="preserve">who </w:t>
      </w:r>
      <w:r>
        <w:t>insisted that the applicant undertook considerable further studies to demonstrate that the development would not adversely impact the road network.</w:t>
      </w:r>
      <w:r w:rsidR="00254F4E" w:rsidRPr="00254F4E">
        <w:rPr>
          <w:b/>
          <w:bCs/>
        </w:rPr>
        <w:t xml:space="preserve"> This application was </w:t>
      </w:r>
      <w:r w:rsidR="00254F4E">
        <w:rPr>
          <w:b/>
          <w:bCs/>
        </w:rPr>
        <w:t xml:space="preserve">however still </w:t>
      </w:r>
      <w:r w:rsidR="00254F4E" w:rsidRPr="00254F4E">
        <w:rPr>
          <w:b/>
          <w:bCs/>
        </w:rPr>
        <w:t>refused.</w:t>
      </w:r>
    </w:p>
    <w:p w14:paraId="76AB2A8A" w14:textId="77777777" w:rsidR="00F7230A" w:rsidRPr="00F7230A" w:rsidRDefault="00F7230A" w:rsidP="00F7230A">
      <w:pPr>
        <w:autoSpaceDE w:val="0"/>
        <w:autoSpaceDN w:val="0"/>
        <w:adjustRightInd w:val="0"/>
      </w:pPr>
      <w:r w:rsidRPr="00F7230A">
        <w:t>The massive scale of development south of the River Avon will particularly affect the LSVs of Clifford Chambers, Long Marston and Welford on Avon.  all reserve sites and self-build plots in these villages should be removed from the SAP on the ground of lack of adequate infrastructure.</w:t>
      </w:r>
    </w:p>
    <w:p w14:paraId="59E66485" w14:textId="77777777" w:rsidR="00F7230A" w:rsidRDefault="00F7230A" w:rsidP="005D0B52">
      <w:pPr>
        <w:autoSpaceDE w:val="0"/>
        <w:autoSpaceDN w:val="0"/>
        <w:adjustRightInd w:val="0"/>
        <w:rPr>
          <w:rFonts w:cstheme="minorHAnsi"/>
        </w:rPr>
      </w:pPr>
    </w:p>
    <w:p w14:paraId="3D00325A" w14:textId="77777777" w:rsidR="00F7230A" w:rsidRPr="00F7230A" w:rsidRDefault="00F7230A" w:rsidP="00F7230A">
      <w:pPr>
        <w:shd w:val="clear" w:color="auto" w:fill="FFFFFF"/>
        <w:spacing w:after="0" w:line="0" w:lineRule="auto"/>
        <w:rPr>
          <w:rFonts w:ascii="pg-5ff28" w:eastAsia="Times New Roman" w:hAnsi="pg-5ff28" w:cs="Times New Roman"/>
          <w:color w:val="0070C0"/>
          <w:sz w:val="66"/>
          <w:szCs w:val="66"/>
          <w:lang w:eastAsia="en-GB"/>
        </w:rPr>
      </w:pPr>
      <w:r w:rsidRPr="00F7230A">
        <w:rPr>
          <w:rFonts w:ascii="pg-5ff28" w:eastAsia="Times New Roman" w:hAnsi="pg-5ff28" w:cs="Times New Roman"/>
          <w:color w:val="0070C0"/>
          <w:sz w:val="66"/>
          <w:szCs w:val="66"/>
          <w:lang w:eastAsia="en-GB"/>
        </w:rPr>
        <w:t>1"'&gt;6A&gt;</w:t>
      </w:r>
    </w:p>
    <w:p w14:paraId="4B987059" w14:textId="77777777" w:rsidR="00F7230A" w:rsidRPr="00F7230A" w:rsidRDefault="00F7230A" w:rsidP="00F7230A">
      <w:pPr>
        <w:shd w:val="clear" w:color="auto" w:fill="FFFFFF"/>
        <w:spacing w:after="0" w:line="0" w:lineRule="auto"/>
        <w:rPr>
          <w:rFonts w:ascii="pg-5ff28" w:eastAsia="Times New Roman" w:hAnsi="pg-5ff28" w:cs="Times New Roman"/>
          <w:color w:val="0070C0"/>
          <w:sz w:val="66"/>
          <w:szCs w:val="66"/>
          <w:lang w:eastAsia="en-GB"/>
        </w:rPr>
      </w:pPr>
      <w:r w:rsidRPr="00F7230A">
        <w:rPr>
          <w:rFonts w:ascii="pg-5ff28" w:eastAsia="Times New Roman" w:hAnsi="pg-5ff28" w:cs="Times New Roman"/>
          <w:color w:val="0070C0"/>
          <w:sz w:val="66"/>
          <w:szCs w:val="66"/>
          <w:lang w:eastAsia="en-GB"/>
        </w:rPr>
        <w:t> !6(., ( </w:t>
      </w:r>
    </w:p>
    <w:p w14:paraId="7849C497" w14:textId="1AD8D8CF" w:rsidR="000F4114" w:rsidRPr="008A13E5" w:rsidRDefault="00F7230A" w:rsidP="008A13E5">
      <w:pPr>
        <w:shd w:val="clear" w:color="auto" w:fill="FFFFFF"/>
        <w:spacing w:after="0" w:line="0" w:lineRule="auto"/>
        <w:rPr>
          <w:rFonts w:ascii="pg-5ff28" w:eastAsia="Times New Roman" w:hAnsi="pg-5ff28" w:cs="Times New Roman"/>
          <w:color w:val="0070C0"/>
          <w:sz w:val="66"/>
          <w:szCs w:val="66"/>
          <w:lang w:eastAsia="en-GB"/>
        </w:rPr>
      </w:pPr>
      <w:r w:rsidRPr="00F7230A">
        <w:rPr>
          <w:rFonts w:ascii="pg-5ff28" w:eastAsia="Times New Roman" w:hAnsi="pg-5ff28" w:cs="Times New Roman"/>
          <w:color w:val="0070C0"/>
          <w:sz w:val="66"/>
          <w:szCs w:val="66"/>
          <w:lang w:eastAsia="en-GB"/>
        </w:rPr>
        <w:t>()=,</w:t>
      </w:r>
    </w:p>
    <w:p w14:paraId="319712A2" w14:textId="05AD663B" w:rsidR="005137BC" w:rsidRPr="005D0B52" w:rsidRDefault="005D0B52" w:rsidP="005137BC">
      <w:pPr>
        <w:pStyle w:val="ListParagraph"/>
        <w:numPr>
          <w:ilvl w:val="0"/>
          <w:numId w:val="5"/>
        </w:numPr>
        <w:autoSpaceDE w:val="0"/>
        <w:autoSpaceDN w:val="0"/>
        <w:adjustRightInd w:val="0"/>
        <w:rPr>
          <w:rFonts w:asciiTheme="minorHAnsi" w:hAnsiTheme="minorHAnsi" w:cstheme="minorHAnsi"/>
          <w:b/>
          <w:sz w:val="28"/>
          <w:szCs w:val="28"/>
        </w:rPr>
      </w:pPr>
      <w:r w:rsidRPr="005D0B52">
        <w:rPr>
          <w:rFonts w:asciiTheme="minorHAnsi" w:hAnsiTheme="minorHAnsi" w:cstheme="minorHAnsi"/>
          <w:b/>
          <w:sz w:val="28"/>
          <w:szCs w:val="28"/>
        </w:rPr>
        <w:t>Specific site comments</w:t>
      </w:r>
    </w:p>
    <w:p w14:paraId="2F88781C" w14:textId="77777777" w:rsidR="005D0B52" w:rsidRDefault="005D0B52" w:rsidP="005137BC">
      <w:pPr>
        <w:autoSpaceDE w:val="0"/>
        <w:autoSpaceDN w:val="0"/>
        <w:adjustRightInd w:val="0"/>
        <w:jc w:val="both"/>
        <w:rPr>
          <w:rFonts w:cstheme="minorHAnsi"/>
        </w:rPr>
      </w:pPr>
    </w:p>
    <w:p w14:paraId="19C87862" w14:textId="77777777" w:rsidR="005D0B52" w:rsidRDefault="005137BC" w:rsidP="005137BC">
      <w:pPr>
        <w:autoSpaceDE w:val="0"/>
        <w:autoSpaceDN w:val="0"/>
        <w:adjustRightInd w:val="0"/>
        <w:jc w:val="both"/>
      </w:pPr>
      <w:r w:rsidRPr="005D0B52">
        <w:rPr>
          <w:rFonts w:cstheme="minorHAnsi"/>
        </w:rPr>
        <w:t>The Land Parcels Assessment (LPA) identifies the constraints, restrictions, and considerations that inform the selection of sites</w:t>
      </w:r>
      <w:r>
        <w:t xml:space="preserve"> for reserve sites or for custom / self-build houses.  The baseline for this is the </w:t>
      </w:r>
      <w:r w:rsidR="005D0B52">
        <w:t xml:space="preserve">2018 </w:t>
      </w:r>
      <w:r>
        <w:t xml:space="preserve">Strategic Housing Land Availability Assessment (SHLAA).  </w:t>
      </w:r>
    </w:p>
    <w:p w14:paraId="0BB29E42" w14:textId="69810C82" w:rsidR="005137BC" w:rsidRDefault="005D0B52" w:rsidP="005137BC">
      <w:pPr>
        <w:autoSpaceDE w:val="0"/>
        <w:autoSpaceDN w:val="0"/>
        <w:adjustRightInd w:val="0"/>
        <w:jc w:val="both"/>
      </w:pPr>
      <w:r>
        <w:lastRenderedPageBreak/>
        <w:t>However,</w:t>
      </w:r>
      <w:r w:rsidR="005137BC">
        <w:t xml:space="preserve"> this table does not properly follow the Coventry and Warwickshire Joint Method Statement for Strategic Land Availability Assessment (CWJMS) or the Site Allocation</w:t>
      </w:r>
      <w:r w:rsidR="0070164E">
        <w:t>s</w:t>
      </w:r>
      <w:r w:rsidR="005137BC">
        <w:t xml:space="preserve"> Plan Assessment Criteria (SEC). In addition</w:t>
      </w:r>
      <w:r>
        <w:t>,</w:t>
      </w:r>
      <w:r w:rsidR="005137BC">
        <w:t xml:space="preserve"> there are errors in the LPA, the SHLAA, and the tables in Appendix VIII of the Site Allocation</w:t>
      </w:r>
      <w:r w:rsidR="0070164E">
        <w:t>s</w:t>
      </w:r>
      <w:r w:rsidR="005137BC">
        <w:t xml:space="preserve"> Plan. </w:t>
      </w:r>
    </w:p>
    <w:p w14:paraId="3A8794FF" w14:textId="5EB572E9" w:rsidR="005137BC" w:rsidRDefault="005137BC" w:rsidP="005137BC">
      <w:pPr>
        <w:autoSpaceDE w:val="0"/>
        <w:autoSpaceDN w:val="0"/>
        <w:adjustRightInd w:val="0"/>
        <w:jc w:val="both"/>
      </w:pPr>
      <w:r>
        <w:t xml:space="preserve">When the SEC is properly </w:t>
      </w:r>
      <w:r w:rsidR="000F4114">
        <w:t>applied,</w:t>
      </w:r>
      <w:r>
        <w:t xml:space="preserve"> and the errors are corrected</w:t>
      </w:r>
      <w:r w:rsidR="000F4114">
        <w:t>, below,</w:t>
      </w:r>
      <w:r>
        <w:t xml:space="preserve"> the revised table would strongly indicate that the </w:t>
      </w:r>
      <w:r w:rsidR="000F4114">
        <w:t>four</w:t>
      </w:r>
      <w:r>
        <w:t xml:space="preserve"> sites selected in Welford</w:t>
      </w:r>
      <w:r w:rsidR="000F4114">
        <w:t>-</w:t>
      </w:r>
      <w:r>
        <w:t>on</w:t>
      </w:r>
      <w:r w:rsidR="000F4114">
        <w:t>-</w:t>
      </w:r>
      <w:r>
        <w:t xml:space="preserve">Avon are not suitable for inclusion in the list of </w:t>
      </w:r>
      <w:r w:rsidR="000F4114">
        <w:t>R</w:t>
      </w:r>
      <w:r>
        <w:t xml:space="preserve">eserve </w:t>
      </w:r>
      <w:r w:rsidR="000F4114">
        <w:t>S</w:t>
      </w:r>
      <w:r>
        <w:t xml:space="preserve">ite or </w:t>
      </w:r>
      <w:r w:rsidR="000F4114">
        <w:t>C</w:t>
      </w:r>
      <w:r>
        <w:t xml:space="preserve">ustom / </w:t>
      </w:r>
      <w:r w:rsidR="000F4114">
        <w:t>S</w:t>
      </w:r>
      <w:r>
        <w:t>elf-</w:t>
      </w:r>
      <w:r w:rsidR="000F4114">
        <w:t>B</w:t>
      </w:r>
      <w:r>
        <w:t xml:space="preserve">uild sites.  </w:t>
      </w:r>
    </w:p>
    <w:p w14:paraId="0A3338F4" w14:textId="38C69A3D" w:rsidR="005137BC" w:rsidRDefault="005137BC" w:rsidP="005137BC">
      <w:pPr>
        <w:autoSpaceDE w:val="0"/>
        <w:autoSpaceDN w:val="0"/>
        <w:adjustRightInd w:val="0"/>
        <w:jc w:val="both"/>
      </w:pPr>
      <w:r>
        <w:t>Please see the comments below for each site</w:t>
      </w:r>
      <w:r w:rsidR="000F4114">
        <w:t>:</w:t>
      </w:r>
    </w:p>
    <w:p w14:paraId="3617E7AF" w14:textId="77777777" w:rsidR="00480E27" w:rsidRDefault="00480E27" w:rsidP="005137BC">
      <w:pPr>
        <w:autoSpaceDE w:val="0"/>
        <w:autoSpaceDN w:val="0"/>
        <w:adjustRightInd w:val="0"/>
        <w:jc w:val="both"/>
      </w:pPr>
    </w:p>
    <w:p w14:paraId="65E11594" w14:textId="61493C7C" w:rsidR="005137BC" w:rsidRDefault="0017497C" w:rsidP="005137BC">
      <w:pPr>
        <w:autoSpaceDE w:val="0"/>
        <w:autoSpaceDN w:val="0"/>
        <w:adjustRightInd w:val="0"/>
        <w:jc w:val="both"/>
        <w:rPr>
          <w:b/>
        </w:rPr>
      </w:pPr>
      <w:r>
        <w:rPr>
          <w:b/>
        </w:rPr>
        <w:t>6.1</w:t>
      </w:r>
      <w:r>
        <w:rPr>
          <w:b/>
        </w:rPr>
        <w:tab/>
      </w:r>
      <w:r w:rsidR="005137BC" w:rsidRPr="00C9219B">
        <w:rPr>
          <w:b/>
          <w:u w:val="single"/>
        </w:rPr>
        <w:t>WELF.04.  Land North of Millers Close (Self-Build Plots)</w:t>
      </w:r>
    </w:p>
    <w:p w14:paraId="5611539D" w14:textId="4799047C" w:rsidR="00347C0F" w:rsidRPr="00347C0F" w:rsidRDefault="00347C0F" w:rsidP="00347C0F">
      <w:pPr>
        <w:spacing w:before="100" w:beforeAutospacing="1" w:after="100" w:afterAutospacing="1"/>
        <w:rPr>
          <w:rFonts w:cstheme="minorHAnsi"/>
          <w:color w:val="000000"/>
        </w:rPr>
      </w:pPr>
      <w:r w:rsidRPr="00347C0F">
        <w:rPr>
          <w:rFonts w:cstheme="minorHAnsi"/>
          <w:color w:val="000000"/>
        </w:rPr>
        <w:t>SAP</w:t>
      </w:r>
      <w:r>
        <w:rPr>
          <w:rFonts w:cstheme="minorHAnsi"/>
          <w:color w:val="000000"/>
        </w:rPr>
        <w:t xml:space="preserve"> Policy </w:t>
      </w:r>
      <w:r w:rsidRPr="00347C0F">
        <w:rPr>
          <w:rFonts w:cstheme="minorHAnsi"/>
          <w:color w:val="000000"/>
        </w:rPr>
        <w:t>3 implies Millers Close is one of the 9 most suitable sites across the entire District. Where is the evidence to demonstrate this</w:t>
      </w:r>
      <w:r>
        <w:rPr>
          <w:rFonts w:cstheme="minorHAnsi"/>
          <w:color w:val="000000"/>
        </w:rPr>
        <w:t xml:space="preserve"> given the number of errors in the LPA</w:t>
      </w:r>
      <w:r w:rsidR="00C8507E">
        <w:rPr>
          <w:rFonts w:cstheme="minorHAnsi"/>
          <w:color w:val="000000"/>
        </w:rPr>
        <w:t>?</w:t>
      </w:r>
    </w:p>
    <w:p w14:paraId="7641EC26" w14:textId="689277F8" w:rsidR="000F4114" w:rsidRDefault="005137BC" w:rsidP="005137BC">
      <w:pPr>
        <w:autoSpaceDE w:val="0"/>
        <w:autoSpaceDN w:val="0"/>
        <w:adjustRightInd w:val="0"/>
        <w:spacing w:before="240"/>
        <w:jc w:val="both"/>
      </w:pPr>
      <w:r w:rsidRPr="00DB6EB0">
        <w:rPr>
          <w:b/>
        </w:rPr>
        <w:t>Achievability</w:t>
      </w:r>
      <w:r w:rsidR="000F4114">
        <w:t>:</w:t>
      </w:r>
    </w:p>
    <w:p w14:paraId="797C5B36" w14:textId="77777777" w:rsidR="000F4114" w:rsidRDefault="005137BC" w:rsidP="005137BC">
      <w:pPr>
        <w:autoSpaceDE w:val="0"/>
        <w:autoSpaceDN w:val="0"/>
        <w:adjustRightInd w:val="0"/>
        <w:spacing w:before="240"/>
        <w:jc w:val="both"/>
      </w:pPr>
      <w:r>
        <w:rPr>
          <w:rFonts w:eastAsia="Times New Roman" w:cstheme="minorHAnsi"/>
          <w:lang w:val="en" w:eastAsia="en-GB"/>
        </w:rPr>
        <w:t xml:space="preserve">The SEC table “Achievability” says that a site with a history of planning refusal or appeal dismissal should be assessed as </w:t>
      </w:r>
      <w:r w:rsidRPr="000F4114">
        <w:rPr>
          <w:rFonts w:eastAsia="Times New Roman" w:cstheme="minorHAnsi"/>
          <w:color w:val="FF0000"/>
          <w:lang w:val="en" w:eastAsia="en-GB"/>
        </w:rPr>
        <w:t>RED</w:t>
      </w:r>
      <w:r w:rsidRPr="007353CC">
        <w:rPr>
          <w:rFonts w:eastAsia="Times New Roman" w:cstheme="minorHAnsi"/>
          <w:b/>
          <w:lang w:val="en" w:eastAsia="en-GB"/>
        </w:rPr>
        <w:t>.</w:t>
      </w:r>
      <w:r>
        <w:rPr>
          <w:rFonts w:eastAsia="Times New Roman" w:cstheme="minorHAnsi"/>
          <w:b/>
          <w:lang w:val="en" w:eastAsia="en-GB"/>
        </w:rPr>
        <w:t xml:space="preserve">  </w:t>
      </w:r>
      <w:r>
        <w:t>This site was refused planning consent by SDC in 2015 (</w:t>
      </w:r>
      <w:r w:rsidRPr="00FE3597">
        <w:rPr>
          <w:lang w:eastAsia="en-GB"/>
        </w:rPr>
        <w:t>14/02810/OUT</w:t>
      </w:r>
      <w:r>
        <w:t xml:space="preserve">) and an appeal was subsequently dismissed.  </w:t>
      </w:r>
    </w:p>
    <w:p w14:paraId="0622246B" w14:textId="77777777" w:rsidR="00D37407" w:rsidRDefault="005137BC" w:rsidP="005137BC">
      <w:pPr>
        <w:autoSpaceDE w:val="0"/>
        <w:autoSpaceDN w:val="0"/>
        <w:adjustRightInd w:val="0"/>
        <w:spacing w:before="240"/>
        <w:jc w:val="both"/>
      </w:pPr>
      <w:r>
        <w:t>It would be perverse for the SAP to go against the Inspector’s decision by including this site as a potential for self-build plots.  This should therefore be assesse</w:t>
      </w:r>
      <w:r w:rsidR="0017497C">
        <w:t>d</w:t>
      </w:r>
      <w:r>
        <w:t xml:space="preserve"> as </w:t>
      </w:r>
      <w:r w:rsidRPr="0017497C">
        <w:rPr>
          <w:b/>
          <w:color w:val="FF0000"/>
        </w:rPr>
        <w:t>RED</w:t>
      </w:r>
      <w:r>
        <w:rPr>
          <w:b/>
        </w:rPr>
        <w:t xml:space="preserve"> </w:t>
      </w:r>
      <w:r w:rsidRPr="00CF51E4">
        <w:t>(undeliverable)</w:t>
      </w:r>
      <w:r>
        <w:t>,</w:t>
      </w:r>
      <w:r w:rsidR="0017497C">
        <w:t xml:space="preserve"> not </w:t>
      </w:r>
      <w:r w:rsidR="0017497C" w:rsidRPr="0017497C">
        <w:rPr>
          <w:b/>
          <w:bCs/>
          <w:color w:val="FFC000"/>
        </w:rPr>
        <w:t>Amber</w:t>
      </w:r>
      <w:r>
        <w:t xml:space="preserve"> </w:t>
      </w:r>
      <w:r w:rsidR="0017497C">
        <w:t xml:space="preserve">as shown </w:t>
      </w:r>
      <w:r>
        <w:t xml:space="preserve">in Appendix VIII.  </w:t>
      </w:r>
    </w:p>
    <w:p w14:paraId="032A058E" w14:textId="277672E3" w:rsidR="005137BC" w:rsidRPr="0094017A" w:rsidRDefault="005137BC" w:rsidP="005137BC">
      <w:pPr>
        <w:autoSpaceDE w:val="0"/>
        <w:autoSpaceDN w:val="0"/>
        <w:adjustRightInd w:val="0"/>
        <w:spacing w:before="240"/>
        <w:jc w:val="both"/>
      </w:pPr>
      <w:r>
        <w:t xml:space="preserve">The reasons for </w:t>
      </w:r>
      <w:r w:rsidR="0017497C">
        <w:t>R</w:t>
      </w:r>
      <w:r>
        <w:t xml:space="preserve">efusal and </w:t>
      </w:r>
      <w:r w:rsidR="0017497C">
        <w:t>D</w:t>
      </w:r>
      <w:r>
        <w:t xml:space="preserve">ismissal of the </w:t>
      </w:r>
      <w:r w:rsidR="0017497C">
        <w:t>A</w:t>
      </w:r>
      <w:r>
        <w:t xml:space="preserve">ppeal will not change and therefore this site is highly unlikely to </w:t>
      </w:r>
      <w:r w:rsidR="0017497C">
        <w:t xml:space="preserve">ever </w:t>
      </w:r>
      <w:r>
        <w:t>be</w:t>
      </w:r>
      <w:r w:rsidR="0017497C">
        <w:t xml:space="preserve"> </w:t>
      </w:r>
      <w:r>
        <w:t>deliver</w:t>
      </w:r>
      <w:r w:rsidR="0017497C">
        <w:t>able</w:t>
      </w:r>
      <w:r>
        <w:t>.</w:t>
      </w:r>
    </w:p>
    <w:p w14:paraId="449F9791" w14:textId="2349923C" w:rsidR="0017497C" w:rsidRDefault="005137BC" w:rsidP="005137BC">
      <w:pPr>
        <w:autoSpaceDE w:val="0"/>
        <w:autoSpaceDN w:val="0"/>
        <w:adjustRightInd w:val="0"/>
        <w:spacing w:before="240"/>
        <w:jc w:val="both"/>
      </w:pPr>
      <w:r w:rsidRPr="00DB6EB0">
        <w:rPr>
          <w:b/>
        </w:rPr>
        <w:t>Site Access</w:t>
      </w:r>
      <w:r w:rsidR="0017497C">
        <w:t>:</w:t>
      </w:r>
    </w:p>
    <w:p w14:paraId="74B5B53A" w14:textId="77777777" w:rsidR="0017497C" w:rsidRDefault="005137BC" w:rsidP="005137BC">
      <w:pPr>
        <w:autoSpaceDE w:val="0"/>
        <w:autoSpaceDN w:val="0"/>
        <w:adjustRightInd w:val="0"/>
        <w:spacing w:before="240"/>
        <w:jc w:val="both"/>
      </w:pPr>
      <w:r w:rsidRPr="00F21E22">
        <w:t xml:space="preserve">Table ii of the SEC says that if access to the site is unlikely to meet highway standards </w:t>
      </w:r>
      <w:r>
        <w:t xml:space="preserve">it </w:t>
      </w:r>
      <w:r w:rsidRPr="00F21E22">
        <w:t xml:space="preserve">should be assessed as </w:t>
      </w:r>
      <w:r w:rsidRPr="0017497C">
        <w:rPr>
          <w:color w:val="FF0000"/>
        </w:rPr>
        <w:t>RED</w:t>
      </w:r>
      <w:r w:rsidRPr="00F21E22">
        <w:t xml:space="preserve">.  </w:t>
      </w:r>
      <w:r w:rsidRPr="0017497C">
        <w:rPr>
          <w:b/>
          <w:bCs/>
        </w:rPr>
        <w:t>The LPA incorrectly shows this as a Green</w:t>
      </w:r>
      <w:r>
        <w:t xml:space="preserve">.  </w:t>
      </w:r>
      <w:r w:rsidR="0017497C">
        <w:t>Also,</w:t>
      </w:r>
      <w:r>
        <w:t xml:space="preserve"> th</w:t>
      </w:r>
      <w:r w:rsidRPr="00F21E22">
        <w:t>e table in App</w:t>
      </w:r>
      <w:r w:rsidR="0017497C">
        <w:t>endix</w:t>
      </w:r>
      <w:r w:rsidRPr="00F21E22">
        <w:t xml:space="preserve"> VIII incorrectly states that </w:t>
      </w:r>
      <w:r>
        <w:t xml:space="preserve">the site </w:t>
      </w:r>
      <w:r w:rsidRPr="0017497C">
        <w:rPr>
          <w:i/>
          <w:iCs/>
        </w:rPr>
        <w:t>“has the potential for access to Millers Close and it is considered that suitable mitigation is possible to minimise any adverse effects.”</w:t>
      </w:r>
      <w:r>
        <w:t xml:space="preserve"> </w:t>
      </w:r>
    </w:p>
    <w:p w14:paraId="2E1BAA32" w14:textId="2703148C" w:rsidR="0017497C" w:rsidRDefault="005137BC" w:rsidP="005137BC">
      <w:pPr>
        <w:autoSpaceDE w:val="0"/>
        <w:autoSpaceDN w:val="0"/>
        <w:adjustRightInd w:val="0"/>
        <w:spacing w:before="240"/>
        <w:jc w:val="both"/>
      </w:pPr>
      <w:r>
        <w:t>In response to planning application 14/02810/OUT WCC Highways said in their l</w:t>
      </w:r>
      <w:r w:rsidR="00F7230A">
        <w:t>e</w:t>
      </w:r>
      <w:r>
        <w:t>tter of 2</w:t>
      </w:r>
      <w:r w:rsidR="0017497C" w:rsidRPr="0017497C">
        <w:rPr>
          <w:vertAlign w:val="superscript"/>
        </w:rPr>
        <w:t>nd</w:t>
      </w:r>
      <w:r w:rsidR="0017497C">
        <w:t xml:space="preserve"> </w:t>
      </w:r>
      <w:r>
        <w:t xml:space="preserve">March 2015 that the access was </w:t>
      </w:r>
      <w:r w:rsidRPr="0017497C">
        <w:rPr>
          <w:b/>
          <w:bCs/>
        </w:rPr>
        <w:t>unsafe</w:t>
      </w:r>
      <w:r>
        <w:t xml:space="preserve">.  Furthermore in </w:t>
      </w:r>
      <w:r w:rsidR="0017497C">
        <w:t>D</w:t>
      </w:r>
      <w:r>
        <w:t xml:space="preserve">ismissing the subsequent </w:t>
      </w:r>
      <w:r w:rsidR="0017497C">
        <w:t>A</w:t>
      </w:r>
      <w:r>
        <w:t xml:space="preserve">ppeal the Planning Inspector said </w:t>
      </w:r>
      <w:r w:rsidRPr="0017497C">
        <w:rPr>
          <w:i/>
          <w:iCs/>
        </w:rPr>
        <w:t xml:space="preserve">“Due to the restricted visibility at the junction with Millers Close and that the junction with the High Street is so severely restricted by the pinch point any additional traffic, </w:t>
      </w:r>
      <w:r w:rsidRPr="0017497C">
        <w:rPr>
          <w:i/>
          <w:iCs/>
          <w:u w:val="single"/>
        </w:rPr>
        <w:t>however numerically small</w:t>
      </w:r>
      <w:r w:rsidRPr="0017497C">
        <w:rPr>
          <w:i/>
          <w:iCs/>
        </w:rPr>
        <w:t>, would increase the amount of potentially hazardous manoeuvres.  This would be significantly detrimental to highways safety.”</w:t>
      </w:r>
      <w:r>
        <w:t xml:space="preserve">  </w:t>
      </w:r>
    </w:p>
    <w:p w14:paraId="7E23DC51" w14:textId="7E84F321" w:rsidR="005137BC" w:rsidRDefault="005137BC" w:rsidP="005137BC">
      <w:pPr>
        <w:autoSpaceDE w:val="0"/>
        <w:autoSpaceDN w:val="0"/>
        <w:adjustRightInd w:val="0"/>
        <w:spacing w:before="240"/>
        <w:jc w:val="both"/>
      </w:pPr>
      <w:r>
        <w:t xml:space="preserve">This indicates that even one house on this site would be detrimental to road safety and this was the main reason for </w:t>
      </w:r>
      <w:r w:rsidR="0017497C">
        <w:t>the D</w:t>
      </w:r>
      <w:r>
        <w:t xml:space="preserve">ismissal of the </w:t>
      </w:r>
      <w:r w:rsidR="0017497C">
        <w:t>A</w:t>
      </w:r>
      <w:r>
        <w:t xml:space="preserve">ppeal.  This site is clearly unsafe and should be assessed as </w:t>
      </w:r>
      <w:r w:rsidRPr="0017497C">
        <w:rPr>
          <w:b/>
          <w:color w:val="FF0000"/>
        </w:rPr>
        <w:t>RED</w:t>
      </w:r>
      <w:r w:rsidRPr="0017497C">
        <w:rPr>
          <w:color w:val="FF0000"/>
        </w:rPr>
        <w:t>.</w:t>
      </w:r>
    </w:p>
    <w:p w14:paraId="2E628E8B" w14:textId="1B38C310" w:rsidR="0017497C" w:rsidRDefault="005137BC" w:rsidP="005137BC">
      <w:pPr>
        <w:pStyle w:val="Default"/>
        <w:spacing w:after="200" w:line="288" w:lineRule="auto"/>
        <w:jc w:val="both"/>
        <w:rPr>
          <w:rFonts w:asciiTheme="minorHAnsi" w:hAnsiTheme="minorHAnsi" w:cstheme="minorBidi"/>
          <w:color w:val="auto"/>
          <w:sz w:val="22"/>
          <w:szCs w:val="22"/>
        </w:rPr>
      </w:pPr>
      <w:r w:rsidRPr="00DB6EB0">
        <w:rPr>
          <w:rFonts w:asciiTheme="minorHAnsi" w:hAnsiTheme="minorHAnsi" w:cstheme="minorBidi"/>
          <w:b/>
          <w:color w:val="auto"/>
          <w:sz w:val="22"/>
          <w:szCs w:val="22"/>
        </w:rPr>
        <w:t>Conservation Area</w:t>
      </w:r>
      <w:r w:rsidR="0017497C">
        <w:rPr>
          <w:rFonts w:asciiTheme="minorHAnsi" w:hAnsiTheme="minorHAnsi" w:cstheme="minorBidi"/>
          <w:b/>
          <w:color w:val="auto"/>
          <w:sz w:val="22"/>
          <w:szCs w:val="22"/>
        </w:rPr>
        <w:t>:</w:t>
      </w:r>
    </w:p>
    <w:p w14:paraId="57376EB6" w14:textId="00EF1D77" w:rsidR="005137BC" w:rsidRPr="0017497C" w:rsidRDefault="005137BC" w:rsidP="005137BC">
      <w:pPr>
        <w:pStyle w:val="Default"/>
        <w:spacing w:after="200" w:line="288" w:lineRule="auto"/>
        <w:jc w:val="both"/>
        <w:rPr>
          <w:rFonts w:asciiTheme="minorHAnsi" w:hAnsiTheme="minorHAnsi" w:cstheme="minorBidi"/>
          <w:b/>
          <w:bCs/>
          <w:color w:val="auto"/>
          <w:sz w:val="22"/>
          <w:szCs w:val="22"/>
        </w:rPr>
      </w:pPr>
      <w:r w:rsidRPr="008965D6">
        <w:rPr>
          <w:rFonts w:asciiTheme="minorHAnsi" w:hAnsiTheme="minorHAnsi" w:cstheme="minorBidi"/>
          <w:color w:val="auto"/>
          <w:sz w:val="22"/>
          <w:szCs w:val="22"/>
        </w:rPr>
        <w:t xml:space="preserve">The table </w:t>
      </w:r>
      <w:r>
        <w:rPr>
          <w:rFonts w:asciiTheme="minorHAnsi" w:hAnsiTheme="minorHAnsi" w:cstheme="minorBidi"/>
          <w:color w:val="auto"/>
          <w:sz w:val="22"/>
          <w:szCs w:val="22"/>
        </w:rPr>
        <w:t>in App</w:t>
      </w:r>
      <w:r w:rsidR="0017497C">
        <w:rPr>
          <w:rFonts w:asciiTheme="minorHAnsi" w:hAnsiTheme="minorHAnsi" w:cstheme="minorBidi"/>
          <w:color w:val="auto"/>
          <w:sz w:val="22"/>
          <w:szCs w:val="22"/>
        </w:rPr>
        <w:t>endix</w:t>
      </w:r>
      <w:r>
        <w:rPr>
          <w:rFonts w:asciiTheme="minorHAnsi" w:hAnsiTheme="minorHAnsi" w:cstheme="minorBidi"/>
          <w:color w:val="auto"/>
          <w:sz w:val="22"/>
          <w:szCs w:val="22"/>
        </w:rPr>
        <w:t xml:space="preserve"> VIII incorrectly shows a </w:t>
      </w:r>
      <w:r w:rsidR="0017497C">
        <w:rPr>
          <w:rFonts w:asciiTheme="minorHAnsi" w:hAnsiTheme="minorHAnsi" w:cstheme="minorBidi"/>
          <w:color w:val="auto"/>
          <w:sz w:val="22"/>
          <w:szCs w:val="22"/>
        </w:rPr>
        <w:t>N</w:t>
      </w:r>
      <w:r>
        <w:rPr>
          <w:rFonts w:asciiTheme="minorHAnsi" w:hAnsiTheme="minorHAnsi" w:cstheme="minorBidi"/>
          <w:color w:val="auto"/>
          <w:sz w:val="22"/>
          <w:szCs w:val="22"/>
        </w:rPr>
        <w:t xml:space="preserve">eutral effect saying that </w:t>
      </w:r>
      <w:r w:rsidRPr="008965D6">
        <w:rPr>
          <w:rFonts w:asciiTheme="minorHAnsi" w:hAnsiTheme="minorHAnsi" w:cstheme="minorBidi"/>
          <w:color w:val="auto"/>
          <w:sz w:val="22"/>
          <w:szCs w:val="22"/>
        </w:rPr>
        <w:t xml:space="preserve">the site </w:t>
      </w:r>
      <w:r w:rsidRPr="0017497C">
        <w:rPr>
          <w:rFonts w:asciiTheme="minorHAnsi" w:hAnsiTheme="minorHAnsi" w:cstheme="minorBidi"/>
          <w:i/>
          <w:iCs/>
          <w:color w:val="auto"/>
          <w:sz w:val="22"/>
          <w:szCs w:val="22"/>
        </w:rPr>
        <w:t>“is approximately 300m from the Conservation Area and any listed buildings, with existing development in between.”</w:t>
      </w:r>
      <w:r w:rsidRPr="008965D6">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r w:rsidRPr="0017497C">
        <w:rPr>
          <w:rFonts w:asciiTheme="minorHAnsi" w:hAnsiTheme="minorHAnsi" w:cstheme="minorBidi"/>
          <w:b/>
          <w:bCs/>
          <w:color w:val="auto"/>
          <w:sz w:val="22"/>
          <w:szCs w:val="22"/>
        </w:rPr>
        <w:t xml:space="preserve">The site is </w:t>
      </w:r>
      <w:r w:rsidR="0017497C" w:rsidRPr="0017497C">
        <w:rPr>
          <w:rFonts w:asciiTheme="minorHAnsi" w:hAnsiTheme="minorHAnsi" w:cstheme="minorBidi"/>
          <w:b/>
          <w:bCs/>
          <w:color w:val="auto"/>
          <w:sz w:val="22"/>
          <w:szCs w:val="22"/>
        </w:rPr>
        <w:t xml:space="preserve">in fact </w:t>
      </w:r>
      <w:r w:rsidRPr="0017497C">
        <w:rPr>
          <w:rFonts w:asciiTheme="minorHAnsi" w:hAnsiTheme="minorHAnsi" w:cstheme="minorBidi"/>
          <w:b/>
          <w:bCs/>
          <w:color w:val="auto"/>
          <w:sz w:val="22"/>
          <w:szCs w:val="22"/>
        </w:rPr>
        <w:t xml:space="preserve">adjacent to the </w:t>
      </w:r>
      <w:r w:rsidR="0017497C" w:rsidRPr="0017497C">
        <w:rPr>
          <w:rFonts w:asciiTheme="minorHAnsi" w:hAnsiTheme="minorHAnsi" w:cstheme="minorBidi"/>
          <w:b/>
          <w:bCs/>
          <w:color w:val="auto"/>
          <w:sz w:val="22"/>
          <w:szCs w:val="22"/>
        </w:rPr>
        <w:t>C</w:t>
      </w:r>
      <w:r w:rsidRPr="0017497C">
        <w:rPr>
          <w:rFonts w:asciiTheme="minorHAnsi" w:hAnsiTheme="minorHAnsi" w:cstheme="minorBidi"/>
          <w:b/>
          <w:bCs/>
          <w:color w:val="auto"/>
          <w:sz w:val="22"/>
          <w:szCs w:val="22"/>
        </w:rPr>
        <w:t xml:space="preserve">onservation </w:t>
      </w:r>
      <w:r w:rsidR="0017497C" w:rsidRPr="0017497C">
        <w:rPr>
          <w:rFonts w:asciiTheme="minorHAnsi" w:hAnsiTheme="minorHAnsi" w:cstheme="minorBidi"/>
          <w:b/>
          <w:bCs/>
          <w:color w:val="auto"/>
          <w:sz w:val="22"/>
          <w:szCs w:val="22"/>
        </w:rPr>
        <w:t>A</w:t>
      </w:r>
      <w:r w:rsidRPr="0017497C">
        <w:rPr>
          <w:rFonts w:asciiTheme="minorHAnsi" w:hAnsiTheme="minorHAnsi" w:cstheme="minorBidi"/>
          <w:b/>
          <w:bCs/>
          <w:color w:val="auto"/>
          <w:sz w:val="22"/>
          <w:szCs w:val="22"/>
        </w:rPr>
        <w:t xml:space="preserve">rea and there is a </w:t>
      </w:r>
      <w:r w:rsidR="0017497C" w:rsidRPr="0017497C">
        <w:rPr>
          <w:rFonts w:asciiTheme="minorHAnsi" w:hAnsiTheme="minorHAnsi" w:cstheme="minorBidi"/>
          <w:b/>
          <w:bCs/>
          <w:color w:val="auto"/>
          <w:sz w:val="22"/>
          <w:szCs w:val="22"/>
        </w:rPr>
        <w:t>L</w:t>
      </w:r>
      <w:r w:rsidRPr="0017497C">
        <w:rPr>
          <w:rFonts w:asciiTheme="minorHAnsi" w:hAnsiTheme="minorHAnsi" w:cstheme="minorBidi"/>
          <w:b/>
          <w:bCs/>
          <w:color w:val="auto"/>
          <w:sz w:val="22"/>
          <w:szCs w:val="22"/>
        </w:rPr>
        <w:t xml:space="preserve">isted </w:t>
      </w:r>
      <w:r w:rsidR="0017497C" w:rsidRPr="0017497C">
        <w:rPr>
          <w:rFonts w:asciiTheme="minorHAnsi" w:hAnsiTheme="minorHAnsi" w:cstheme="minorBidi"/>
          <w:b/>
          <w:bCs/>
          <w:color w:val="auto"/>
          <w:sz w:val="22"/>
          <w:szCs w:val="22"/>
        </w:rPr>
        <w:t>B</w:t>
      </w:r>
      <w:r w:rsidRPr="0017497C">
        <w:rPr>
          <w:rFonts w:asciiTheme="minorHAnsi" w:hAnsiTheme="minorHAnsi" w:cstheme="minorBidi"/>
          <w:b/>
          <w:bCs/>
          <w:color w:val="auto"/>
          <w:sz w:val="22"/>
          <w:szCs w:val="22"/>
        </w:rPr>
        <w:t xml:space="preserve">uilding within 60m of the site.  </w:t>
      </w:r>
    </w:p>
    <w:p w14:paraId="4DAD1084" w14:textId="77777777" w:rsidR="008A13E5" w:rsidRDefault="005137BC" w:rsidP="005137BC">
      <w:pPr>
        <w:autoSpaceDE w:val="0"/>
        <w:autoSpaceDN w:val="0"/>
        <w:adjustRightInd w:val="0"/>
        <w:jc w:val="both"/>
      </w:pPr>
      <w:r w:rsidRPr="00AF680B">
        <w:t xml:space="preserve"> </w:t>
      </w:r>
    </w:p>
    <w:p w14:paraId="7FFF0604" w14:textId="77777777" w:rsidR="008A13E5" w:rsidRDefault="008A13E5" w:rsidP="005137BC">
      <w:pPr>
        <w:autoSpaceDE w:val="0"/>
        <w:autoSpaceDN w:val="0"/>
        <w:adjustRightInd w:val="0"/>
        <w:jc w:val="both"/>
      </w:pPr>
    </w:p>
    <w:p w14:paraId="4B9FB1E0" w14:textId="035F7458" w:rsidR="0017497C" w:rsidRDefault="005137BC" w:rsidP="005137BC">
      <w:pPr>
        <w:autoSpaceDE w:val="0"/>
        <w:autoSpaceDN w:val="0"/>
        <w:adjustRightInd w:val="0"/>
        <w:jc w:val="both"/>
      </w:pPr>
      <w:r w:rsidRPr="00DB6EB0">
        <w:rPr>
          <w:b/>
        </w:rPr>
        <w:lastRenderedPageBreak/>
        <w:t>Employment Land</w:t>
      </w:r>
      <w:r w:rsidR="0017497C">
        <w:t>:</w:t>
      </w:r>
    </w:p>
    <w:p w14:paraId="049F2C37" w14:textId="04301BDE" w:rsidR="005137BC" w:rsidRDefault="005137BC" w:rsidP="005137BC">
      <w:pPr>
        <w:autoSpaceDE w:val="0"/>
        <w:autoSpaceDN w:val="0"/>
        <w:adjustRightInd w:val="0"/>
        <w:jc w:val="both"/>
      </w:pPr>
      <w:r w:rsidRPr="00FB74C5">
        <w:t xml:space="preserve">The </w:t>
      </w:r>
      <w:r>
        <w:t>table i</w:t>
      </w:r>
      <w:r w:rsidRPr="00FB74C5">
        <w:t>n App</w:t>
      </w:r>
      <w:r w:rsidR="0017497C">
        <w:t>endix</w:t>
      </w:r>
      <w:r w:rsidRPr="00FB74C5">
        <w:t xml:space="preserve"> VIII says that the site does not create the loss of employment land.  </w:t>
      </w:r>
      <w:r w:rsidR="0017497C" w:rsidRPr="00FB74C5">
        <w:t>However,</w:t>
      </w:r>
      <w:r w:rsidRPr="00FB74C5">
        <w:t xml:space="preserve"> the site is an agricultural business that currently supports rural employment</w:t>
      </w:r>
      <w:r>
        <w:t xml:space="preserve"> and </w:t>
      </w:r>
      <w:r w:rsidR="0017497C">
        <w:t xml:space="preserve">housing </w:t>
      </w:r>
      <w:r>
        <w:t>development would lead to a loss of employment land</w:t>
      </w:r>
      <w:r w:rsidRPr="00FB74C5">
        <w:t xml:space="preserve">.  This should </w:t>
      </w:r>
      <w:r w:rsidR="0017497C">
        <w:t xml:space="preserve">be </w:t>
      </w:r>
      <w:r w:rsidRPr="00FB74C5">
        <w:t xml:space="preserve">assessed as a </w:t>
      </w:r>
      <w:r w:rsidRPr="0017497C">
        <w:rPr>
          <w:b/>
          <w:color w:val="FF0000"/>
        </w:rPr>
        <w:t>RED</w:t>
      </w:r>
      <w:r w:rsidRPr="00302E4E">
        <w:rPr>
          <w:b/>
        </w:rPr>
        <w:t xml:space="preserve"> </w:t>
      </w:r>
      <w:r w:rsidRPr="00FB74C5">
        <w:t>in accordance with the SEC.</w:t>
      </w:r>
    </w:p>
    <w:p w14:paraId="441ED07C" w14:textId="77777777" w:rsidR="0017497C" w:rsidRDefault="005137BC" w:rsidP="005137BC">
      <w:pPr>
        <w:autoSpaceDE w:val="0"/>
        <w:autoSpaceDN w:val="0"/>
        <w:adjustRightInd w:val="0"/>
        <w:jc w:val="both"/>
      </w:pPr>
      <w:r w:rsidRPr="00DB6EB0">
        <w:rPr>
          <w:b/>
        </w:rPr>
        <w:t>Agricultural Land</w:t>
      </w:r>
      <w:r w:rsidR="0017497C">
        <w:t>:</w:t>
      </w:r>
      <w:r w:rsidRPr="00FB74C5">
        <w:t xml:space="preserve"> </w:t>
      </w:r>
    </w:p>
    <w:p w14:paraId="046E84C5" w14:textId="0AB37AEB" w:rsidR="005137BC" w:rsidRDefault="005137BC" w:rsidP="005137BC">
      <w:pPr>
        <w:autoSpaceDE w:val="0"/>
        <w:autoSpaceDN w:val="0"/>
        <w:adjustRightInd w:val="0"/>
        <w:jc w:val="both"/>
      </w:pPr>
      <w:r w:rsidRPr="00FB74C5">
        <w:t xml:space="preserve">Table i (Major Planning Considerations) of the SEC says that Grade 2 agricultural land should be assessed as </w:t>
      </w:r>
      <w:r w:rsidRPr="0017497C">
        <w:rPr>
          <w:color w:val="FF0000"/>
        </w:rPr>
        <w:t>RED</w:t>
      </w:r>
      <w:r w:rsidRPr="00FB74C5">
        <w:t xml:space="preserve">.  The Agricultural Land Classification Map produced by Natural England shows that this site is wholly on Grade 2 agricultural land.  This site should therefore be assessed as </w:t>
      </w:r>
      <w:r w:rsidRPr="0017497C">
        <w:rPr>
          <w:b/>
          <w:color w:val="FF0000"/>
        </w:rPr>
        <w:t>RED</w:t>
      </w:r>
      <w:r>
        <w:rPr>
          <w:b/>
        </w:rPr>
        <w:t xml:space="preserve"> </w:t>
      </w:r>
      <w:r>
        <w:t>in Appendix VIII</w:t>
      </w:r>
      <w:r w:rsidRPr="00FB74C5">
        <w:t>.</w:t>
      </w:r>
    </w:p>
    <w:p w14:paraId="259CD9C2" w14:textId="77777777" w:rsidR="000D0BB1" w:rsidRDefault="000D0BB1" w:rsidP="005137BC">
      <w:pPr>
        <w:autoSpaceDE w:val="0"/>
        <w:autoSpaceDN w:val="0"/>
        <w:adjustRightInd w:val="0"/>
        <w:jc w:val="both"/>
        <w:rPr>
          <w:b/>
        </w:rPr>
      </w:pPr>
    </w:p>
    <w:p w14:paraId="18ECD409" w14:textId="40485D47" w:rsidR="005137BC" w:rsidRDefault="0017497C" w:rsidP="005137BC">
      <w:pPr>
        <w:autoSpaceDE w:val="0"/>
        <w:autoSpaceDN w:val="0"/>
        <w:adjustRightInd w:val="0"/>
        <w:jc w:val="both"/>
        <w:rPr>
          <w:b/>
        </w:rPr>
      </w:pPr>
      <w:r>
        <w:rPr>
          <w:b/>
        </w:rPr>
        <w:t>6.2</w:t>
      </w:r>
      <w:r>
        <w:rPr>
          <w:b/>
        </w:rPr>
        <w:tab/>
      </w:r>
      <w:r w:rsidR="005137BC" w:rsidRPr="00C9219B">
        <w:rPr>
          <w:b/>
          <w:u w:val="single"/>
        </w:rPr>
        <w:t>WELF.A (App</w:t>
      </w:r>
      <w:r w:rsidRPr="00C9219B">
        <w:rPr>
          <w:b/>
          <w:u w:val="single"/>
        </w:rPr>
        <w:t>endix</w:t>
      </w:r>
      <w:r w:rsidR="005137BC" w:rsidRPr="00C9219B">
        <w:rPr>
          <w:b/>
          <w:u w:val="single"/>
        </w:rPr>
        <w:t xml:space="preserve"> VIII ref WELF.09) Land North of Milcote Road.</w:t>
      </w:r>
    </w:p>
    <w:p w14:paraId="017341BB" w14:textId="77777777" w:rsidR="00D37407" w:rsidRDefault="005137BC" w:rsidP="005137BC">
      <w:pPr>
        <w:autoSpaceDE w:val="0"/>
        <w:autoSpaceDN w:val="0"/>
        <w:adjustRightInd w:val="0"/>
        <w:spacing w:before="240"/>
        <w:jc w:val="both"/>
      </w:pPr>
      <w:r w:rsidRPr="00D37407">
        <w:rPr>
          <w:b/>
          <w:bCs/>
        </w:rPr>
        <w:t>Achievability</w:t>
      </w:r>
      <w:r w:rsidR="00D37407" w:rsidRPr="00D37407">
        <w:rPr>
          <w:b/>
          <w:bCs/>
        </w:rPr>
        <w:t>:</w:t>
      </w:r>
      <w:r>
        <w:t xml:space="preserve">  </w:t>
      </w:r>
    </w:p>
    <w:p w14:paraId="25AF2368" w14:textId="77777777" w:rsidR="00D37407" w:rsidRDefault="005137BC" w:rsidP="005137BC">
      <w:pPr>
        <w:autoSpaceDE w:val="0"/>
        <w:autoSpaceDN w:val="0"/>
        <w:adjustRightInd w:val="0"/>
        <w:spacing w:before="240"/>
        <w:jc w:val="both"/>
        <w:rPr>
          <w:rFonts w:eastAsia="Times New Roman" w:cstheme="minorHAnsi"/>
          <w:lang w:val="en" w:eastAsia="en-GB"/>
        </w:rPr>
      </w:pPr>
      <w:r>
        <w:rPr>
          <w:rFonts w:eastAsia="Times New Roman" w:cstheme="minorHAnsi"/>
          <w:lang w:val="en" w:eastAsia="en-GB"/>
        </w:rPr>
        <w:t xml:space="preserve">The SEC table “Achievability” says that a site with a history of planning </w:t>
      </w:r>
      <w:r w:rsidR="00D37407">
        <w:rPr>
          <w:rFonts w:eastAsia="Times New Roman" w:cstheme="minorHAnsi"/>
          <w:lang w:val="en" w:eastAsia="en-GB"/>
        </w:rPr>
        <w:t>R</w:t>
      </w:r>
      <w:r>
        <w:rPr>
          <w:rFonts w:eastAsia="Times New Roman" w:cstheme="minorHAnsi"/>
          <w:lang w:val="en" w:eastAsia="en-GB"/>
        </w:rPr>
        <w:t xml:space="preserve">efusal or </w:t>
      </w:r>
      <w:r w:rsidR="00D37407">
        <w:rPr>
          <w:rFonts w:eastAsia="Times New Roman" w:cstheme="minorHAnsi"/>
          <w:lang w:val="en" w:eastAsia="en-GB"/>
        </w:rPr>
        <w:t>A</w:t>
      </w:r>
      <w:r>
        <w:rPr>
          <w:rFonts w:eastAsia="Times New Roman" w:cstheme="minorHAnsi"/>
          <w:lang w:val="en" w:eastAsia="en-GB"/>
        </w:rPr>
        <w:t xml:space="preserve">ppeal </w:t>
      </w:r>
      <w:r w:rsidR="00D37407">
        <w:rPr>
          <w:rFonts w:eastAsia="Times New Roman" w:cstheme="minorHAnsi"/>
          <w:lang w:val="en" w:eastAsia="en-GB"/>
        </w:rPr>
        <w:t>D</w:t>
      </w:r>
      <w:r>
        <w:rPr>
          <w:rFonts w:eastAsia="Times New Roman" w:cstheme="minorHAnsi"/>
          <w:lang w:val="en" w:eastAsia="en-GB"/>
        </w:rPr>
        <w:t>ismissal should be assessed as</w:t>
      </w:r>
      <w:r w:rsidRPr="00D37407">
        <w:rPr>
          <w:rFonts w:eastAsia="Times New Roman" w:cstheme="minorHAnsi"/>
          <w:color w:val="FF0000"/>
          <w:lang w:val="en" w:eastAsia="en-GB"/>
        </w:rPr>
        <w:t xml:space="preserve"> RED</w:t>
      </w:r>
      <w:r w:rsidRPr="007353CC">
        <w:rPr>
          <w:rFonts w:eastAsia="Times New Roman" w:cstheme="minorHAnsi"/>
          <w:b/>
          <w:lang w:val="en" w:eastAsia="en-GB"/>
        </w:rPr>
        <w:t>.</w:t>
      </w:r>
      <w:r>
        <w:rPr>
          <w:rFonts w:eastAsia="Times New Roman" w:cstheme="minorHAnsi"/>
          <w:b/>
          <w:lang w:val="en" w:eastAsia="en-GB"/>
        </w:rPr>
        <w:t xml:space="preserve">  </w:t>
      </w:r>
      <w:r>
        <w:t xml:space="preserve">This site was </w:t>
      </w:r>
      <w:r w:rsidR="00D37407">
        <w:t>R</w:t>
      </w:r>
      <w:r>
        <w:t xml:space="preserve">efused planning consent (13/0235/OUT) in 2014.  Also following an </w:t>
      </w:r>
      <w:r w:rsidR="00D37407">
        <w:t>A</w:t>
      </w:r>
      <w:r>
        <w:t xml:space="preserve">ppeal and a </w:t>
      </w:r>
      <w:r w:rsidR="00D37407">
        <w:t>P</w:t>
      </w:r>
      <w:r>
        <w:t xml:space="preserve">ublic </w:t>
      </w:r>
      <w:r w:rsidR="00D37407">
        <w:t>I</w:t>
      </w:r>
      <w:r>
        <w:t xml:space="preserve">nquiry the Inspector </w:t>
      </w:r>
      <w:r w:rsidR="00D37407">
        <w:t>D</w:t>
      </w:r>
      <w:r>
        <w:t xml:space="preserve">ismissed the </w:t>
      </w:r>
      <w:r w:rsidR="00D37407">
        <w:t>A</w:t>
      </w:r>
      <w:r>
        <w:t>ppeal in December 2014.  And further</w:t>
      </w:r>
      <w:r w:rsidR="00D37407">
        <w:t>,</w:t>
      </w:r>
      <w:r>
        <w:t xml:space="preserve"> In June 2019 SDC </w:t>
      </w:r>
      <w:r w:rsidR="00D37407">
        <w:t>R</w:t>
      </w:r>
      <w:r>
        <w:t xml:space="preserve">efused planning consent for another application at this location </w:t>
      </w:r>
      <w:r w:rsidRPr="00FE3597">
        <w:t>(</w:t>
      </w:r>
      <w:r w:rsidRPr="00FE3597">
        <w:rPr>
          <w:rFonts w:eastAsia="Times New Roman" w:cstheme="minorHAnsi"/>
          <w:lang w:val="en" w:eastAsia="en-GB"/>
        </w:rPr>
        <w:t>18/03705/OUT</w:t>
      </w:r>
      <w:r>
        <w:rPr>
          <w:rFonts w:eastAsia="Times New Roman" w:cstheme="minorHAnsi"/>
          <w:lang w:val="en" w:eastAsia="en-GB"/>
        </w:rPr>
        <w:t xml:space="preserve">).  </w:t>
      </w:r>
    </w:p>
    <w:p w14:paraId="1F1C9B17" w14:textId="77777777" w:rsidR="00D37407" w:rsidRDefault="005137BC" w:rsidP="005137BC">
      <w:pPr>
        <w:autoSpaceDE w:val="0"/>
        <w:autoSpaceDN w:val="0"/>
        <w:adjustRightInd w:val="0"/>
        <w:spacing w:before="240"/>
        <w:jc w:val="both"/>
      </w:pPr>
      <w:r>
        <w:rPr>
          <w:rFonts w:eastAsia="Times New Roman" w:cstheme="minorHAnsi"/>
          <w:lang w:val="en" w:eastAsia="en-GB"/>
        </w:rPr>
        <w:t xml:space="preserve">It would be difficult to reconcile SDC </w:t>
      </w:r>
      <w:r w:rsidR="00D37407">
        <w:rPr>
          <w:rFonts w:eastAsia="Times New Roman" w:cstheme="minorHAnsi"/>
          <w:lang w:val="en" w:eastAsia="en-GB"/>
        </w:rPr>
        <w:t>R</w:t>
      </w:r>
      <w:r>
        <w:rPr>
          <w:rFonts w:eastAsia="Times New Roman" w:cstheme="minorHAnsi"/>
          <w:lang w:val="en" w:eastAsia="en-GB"/>
        </w:rPr>
        <w:t xml:space="preserve">efusing planning consent twice and defending an </w:t>
      </w:r>
      <w:r w:rsidR="00D37407">
        <w:rPr>
          <w:rFonts w:eastAsia="Times New Roman" w:cstheme="minorHAnsi"/>
          <w:lang w:val="en" w:eastAsia="en-GB"/>
        </w:rPr>
        <w:t>A</w:t>
      </w:r>
      <w:r>
        <w:rPr>
          <w:rFonts w:eastAsia="Times New Roman" w:cstheme="minorHAnsi"/>
          <w:lang w:val="en" w:eastAsia="en-GB"/>
        </w:rPr>
        <w:t xml:space="preserve">ppeal, only to promote the site as a potential </w:t>
      </w:r>
      <w:r w:rsidR="00D37407">
        <w:rPr>
          <w:rFonts w:eastAsia="Times New Roman" w:cstheme="minorHAnsi"/>
          <w:lang w:val="en" w:eastAsia="en-GB"/>
        </w:rPr>
        <w:t>R</w:t>
      </w:r>
      <w:r>
        <w:rPr>
          <w:rFonts w:eastAsia="Times New Roman" w:cstheme="minorHAnsi"/>
          <w:lang w:val="en" w:eastAsia="en-GB"/>
        </w:rPr>
        <w:t xml:space="preserve">eserve </w:t>
      </w:r>
      <w:r w:rsidR="00D37407">
        <w:rPr>
          <w:rFonts w:eastAsia="Times New Roman" w:cstheme="minorHAnsi"/>
          <w:lang w:val="en" w:eastAsia="en-GB"/>
        </w:rPr>
        <w:t>S</w:t>
      </w:r>
      <w:r>
        <w:rPr>
          <w:rFonts w:eastAsia="Times New Roman" w:cstheme="minorHAnsi"/>
          <w:lang w:val="en" w:eastAsia="en-GB"/>
        </w:rPr>
        <w:t xml:space="preserve">ite now.  This site should be assessed as </w:t>
      </w:r>
      <w:r w:rsidRPr="00D37407">
        <w:rPr>
          <w:rFonts w:eastAsia="Times New Roman" w:cstheme="minorHAnsi"/>
          <w:b/>
          <w:color w:val="FF0000"/>
          <w:lang w:val="en" w:eastAsia="en-GB"/>
        </w:rPr>
        <w:t>RED</w:t>
      </w:r>
      <w:r w:rsidR="00D37407">
        <w:rPr>
          <w:rFonts w:eastAsia="Times New Roman" w:cstheme="minorHAnsi"/>
          <w:lang w:val="en" w:eastAsia="en-GB"/>
        </w:rPr>
        <w:t>.</w:t>
      </w:r>
      <w:r>
        <w:rPr>
          <w:rFonts w:eastAsia="Times New Roman" w:cstheme="minorHAnsi"/>
          <w:lang w:val="en" w:eastAsia="en-GB"/>
        </w:rPr>
        <w:t xml:space="preserve"> </w:t>
      </w:r>
      <w:r w:rsidR="00D37407">
        <w:rPr>
          <w:rFonts w:eastAsia="Times New Roman" w:cstheme="minorHAnsi"/>
          <w:lang w:val="en" w:eastAsia="en-GB"/>
        </w:rPr>
        <w:t>H</w:t>
      </w:r>
      <w:r w:rsidR="00D37407">
        <w:t>owever,</w:t>
      </w:r>
      <w:r>
        <w:t xml:space="preserve"> the table in Appendix VIII does not take this into account</w:t>
      </w:r>
      <w:r w:rsidR="00D37407">
        <w:t>.</w:t>
      </w:r>
      <w:r>
        <w:t xml:space="preserve"> </w:t>
      </w:r>
    </w:p>
    <w:p w14:paraId="508F2B0B" w14:textId="28DF71C7" w:rsidR="005137BC" w:rsidRPr="0094017A" w:rsidRDefault="00D37407" w:rsidP="005137BC">
      <w:pPr>
        <w:autoSpaceDE w:val="0"/>
        <w:autoSpaceDN w:val="0"/>
        <w:adjustRightInd w:val="0"/>
        <w:spacing w:before="240"/>
        <w:jc w:val="both"/>
      </w:pPr>
      <w:r>
        <w:t>The</w:t>
      </w:r>
      <w:r w:rsidR="005137BC">
        <w:t xml:space="preserve"> reasons for </w:t>
      </w:r>
      <w:r>
        <w:t>R</w:t>
      </w:r>
      <w:r w:rsidR="005137BC">
        <w:t xml:space="preserve">efusal and </w:t>
      </w:r>
      <w:r>
        <w:t>D</w:t>
      </w:r>
      <w:r w:rsidR="005137BC">
        <w:t xml:space="preserve">ismissal of the </w:t>
      </w:r>
      <w:r>
        <w:t>A</w:t>
      </w:r>
      <w:r w:rsidR="005137BC">
        <w:t xml:space="preserve">ppeal will not change and therefore this site is highly unlikely to </w:t>
      </w:r>
      <w:r>
        <w:t xml:space="preserve">ever </w:t>
      </w:r>
      <w:r w:rsidR="005137BC">
        <w:t>be deliver</w:t>
      </w:r>
      <w:r>
        <w:t>able</w:t>
      </w:r>
      <w:r w:rsidR="005137BC">
        <w:t xml:space="preserve">.  </w:t>
      </w:r>
    </w:p>
    <w:p w14:paraId="429172E3" w14:textId="7EEF1570" w:rsidR="00D37407" w:rsidRPr="00D37407" w:rsidRDefault="005137BC" w:rsidP="005137BC">
      <w:pPr>
        <w:autoSpaceDE w:val="0"/>
        <w:autoSpaceDN w:val="0"/>
        <w:adjustRightInd w:val="0"/>
        <w:jc w:val="both"/>
        <w:rPr>
          <w:rFonts w:eastAsia="Times New Roman" w:cstheme="minorHAnsi"/>
          <w:b/>
          <w:bCs/>
          <w:lang w:val="en" w:eastAsia="en-GB"/>
        </w:rPr>
      </w:pPr>
      <w:r w:rsidRPr="00D37407">
        <w:rPr>
          <w:rFonts w:eastAsia="Times New Roman" w:cstheme="minorHAnsi"/>
          <w:b/>
          <w:bCs/>
          <w:lang w:val="en" w:eastAsia="en-GB"/>
        </w:rPr>
        <w:t>Coalescence</w:t>
      </w:r>
      <w:r w:rsidR="00D37407">
        <w:rPr>
          <w:rFonts w:eastAsia="Times New Roman" w:cstheme="minorHAnsi"/>
          <w:b/>
          <w:bCs/>
          <w:lang w:val="en" w:eastAsia="en-GB"/>
        </w:rPr>
        <w:t xml:space="preserve"> of villages</w:t>
      </w:r>
      <w:r w:rsidR="00D37407" w:rsidRPr="00D37407">
        <w:rPr>
          <w:rFonts w:eastAsia="Times New Roman" w:cstheme="minorHAnsi"/>
          <w:b/>
          <w:bCs/>
          <w:lang w:val="en" w:eastAsia="en-GB"/>
        </w:rPr>
        <w:t>:</w:t>
      </w:r>
    </w:p>
    <w:p w14:paraId="1F7333AB" w14:textId="4ECD5A26" w:rsidR="005137BC" w:rsidRDefault="005137BC" w:rsidP="005137BC">
      <w:pPr>
        <w:autoSpaceDE w:val="0"/>
        <w:autoSpaceDN w:val="0"/>
        <w:adjustRightInd w:val="0"/>
        <w:jc w:val="both"/>
        <w:rPr>
          <w:rFonts w:eastAsia="Times New Roman" w:cstheme="minorHAnsi"/>
          <w:lang w:val="en" w:eastAsia="en-GB"/>
        </w:rPr>
      </w:pPr>
      <w:r>
        <w:rPr>
          <w:rFonts w:eastAsia="Times New Roman" w:cstheme="minorHAnsi"/>
          <w:lang w:val="en" w:eastAsia="en-GB"/>
        </w:rPr>
        <w:t xml:space="preserve">Table ii of the SEC regarding coalescence says that any site which forms an important contribution to defining and maintaining the separate identity of the settlement should be assessed as </w:t>
      </w:r>
      <w:r w:rsidRPr="00D37407">
        <w:rPr>
          <w:rFonts w:eastAsia="Times New Roman" w:cstheme="minorHAnsi"/>
          <w:color w:val="FF0000"/>
          <w:lang w:val="en" w:eastAsia="en-GB"/>
        </w:rPr>
        <w:t>RED</w:t>
      </w:r>
      <w:r>
        <w:rPr>
          <w:rFonts w:eastAsia="Times New Roman" w:cstheme="minorHAnsi"/>
          <w:b/>
          <w:lang w:val="en" w:eastAsia="en-GB"/>
        </w:rPr>
        <w:t xml:space="preserve"> </w:t>
      </w:r>
      <w:r>
        <w:rPr>
          <w:rFonts w:eastAsia="Times New Roman" w:cstheme="minorHAnsi"/>
          <w:lang w:val="en" w:eastAsia="en-GB"/>
        </w:rPr>
        <w:t xml:space="preserve">if it is a significant contribution. </w:t>
      </w:r>
      <w:r w:rsidRPr="00D37407">
        <w:rPr>
          <w:rFonts w:eastAsia="Times New Roman" w:cstheme="minorHAnsi"/>
          <w:b/>
          <w:bCs/>
          <w:lang w:val="en" w:eastAsia="en-GB"/>
        </w:rPr>
        <w:t>The LPA incorrectly assesses this as GREEN.</w:t>
      </w:r>
      <w:r>
        <w:rPr>
          <w:rFonts w:eastAsia="Times New Roman" w:cstheme="minorHAnsi"/>
          <w:lang w:val="en" w:eastAsia="en-GB"/>
        </w:rPr>
        <w:t xml:space="preserve"> </w:t>
      </w:r>
    </w:p>
    <w:p w14:paraId="0E1DFAA5" w14:textId="77777777" w:rsidR="00D37407" w:rsidRDefault="005137BC" w:rsidP="005137BC">
      <w:pPr>
        <w:autoSpaceDE w:val="0"/>
        <w:autoSpaceDN w:val="0"/>
        <w:adjustRightInd w:val="0"/>
        <w:jc w:val="both"/>
      </w:pPr>
      <w:r>
        <w:t xml:space="preserve">One of the reasons given for the District Council’s </w:t>
      </w:r>
      <w:r w:rsidR="00D37407">
        <w:t>R</w:t>
      </w:r>
      <w:r>
        <w:t xml:space="preserve">efusal for a planning application on this particular site in June 2019 (18/03705/OUT) was that reduction of the area between Welford and Weston </w:t>
      </w:r>
      <w:r w:rsidRPr="00D37407">
        <w:rPr>
          <w:i/>
          <w:iCs/>
        </w:rPr>
        <w:t>“would intensify the likelihood of coalescence between the two settlements ….and put at risk their individual historic identity and integrity.”</w:t>
      </w:r>
      <w:r>
        <w:t xml:space="preserve"> </w:t>
      </w:r>
    </w:p>
    <w:p w14:paraId="6A33634F" w14:textId="2B71FF70" w:rsidR="00C9219B" w:rsidRPr="00CE7123" w:rsidRDefault="005137BC" w:rsidP="005137BC">
      <w:pPr>
        <w:autoSpaceDE w:val="0"/>
        <w:autoSpaceDN w:val="0"/>
        <w:adjustRightInd w:val="0"/>
        <w:jc w:val="both"/>
        <w:rPr>
          <w:rFonts w:cstheme="minorHAnsi"/>
        </w:rPr>
      </w:pPr>
      <w:r>
        <w:t xml:space="preserve">The reduction in the gap between Welford and Weston was also a reason given in the dismissal of the </w:t>
      </w:r>
      <w:r w:rsidR="00D37407">
        <w:t>A</w:t>
      </w:r>
      <w:r>
        <w:t>ppeal in December 2014.  And further</w:t>
      </w:r>
      <w:r w:rsidR="00D37407">
        <w:t>,</w:t>
      </w:r>
      <w:r>
        <w:t xml:space="preserve"> t</w:t>
      </w:r>
      <w:r>
        <w:rPr>
          <w:rFonts w:eastAsia="Times New Roman" w:cstheme="minorHAnsi"/>
          <w:lang w:val="en" w:eastAsia="en-GB"/>
        </w:rPr>
        <w:t xml:space="preserve">he site falls within the area of land covered by Policy HE6 of the Neighbourhood </w:t>
      </w:r>
      <w:r w:rsidR="00D37407" w:rsidRPr="00CE7123">
        <w:rPr>
          <w:rFonts w:eastAsia="Times New Roman" w:cstheme="minorHAnsi"/>
          <w:lang w:val="en" w:eastAsia="en-GB"/>
        </w:rPr>
        <w:t xml:space="preserve">Development </w:t>
      </w:r>
      <w:r w:rsidRPr="00CE7123">
        <w:rPr>
          <w:rFonts w:eastAsia="Times New Roman" w:cstheme="minorHAnsi"/>
          <w:lang w:val="en" w:eastAsia="en-GB"/>
        </w:rPr>
        <w:t xml:space="preserve">Plan which states that  </w:t>
      </w:r>
      <w:r w:rsidRPr="00CE7123">
        <w:rPr>
          <w:rFonts w:eastAsia="Times New Roman" w:cstheme="minorHAnsi"/>
          <w:i/>
          <w:iCs/>
          <w:lang w:val="en" w:eastAsia="en-GB"/>
        </w:rPr>
        <w:t>“</w:t>
      </w:r>
      <w:r w:rsidRPr="00CE7123">
        <w:rPr>
          <w:i/>
          <w:iCs/>
        </w:rPr>
        <w:t xml:space="preserve">Development will not be permitted in the land between the villages [of Welford and Weston] so as to preserve the identity and integrity of the settlements and the immediate natural </w:t>
      </w:r>
      <w:r w:rsidRPr="00CE7123">
        <w:rPr>
          <w:rFonts w:cstheme="minorHAnsi"/>
          <w:i/>
          <w:iCs/>
        </w:rPr>
        <w:t>environment.”</w:t>
      </w:r>
      <w:r w:rsidRPr="00CE7123">
        <w:rPr>
          <w:rFonts w:cstheme="minorHAnsi"/>
        </w:rPr>
        <w:t xml:space="preserve">  </w:t>
      </w:r>
    </w:p>
    <w:p w14:paraId="6A7F8C4F" w14:textId="6BF1C4C6" w:rsidR="00CE7123" w:rsidRPr="00CE7123" w:rsidRDefault="00C9219B" w:rsidP="00C9219B">
      <w:pPr>
        <w:shd w:val="clear" w:color="auto" w:fill="FFFFFF"/>
        <w:spacing w:after="0" w:line="240" w:lineRule="auto"/>
        <w:rPr>
          <w:rFonts w:eastAsia="Times New Roman" w:cstheme="minorHAnsi"/>
          <w:color w:val="1D2228"/>
          <w:lang w:eastAsia="en-GB"/>
        </w:rPr>
      </w:pPr>
      <w:r w:rsidRPr="00CE7123">
        <w:rPr>
          <w:rFonts w:eastAsia="Times New Roman" w:cstheme="minorHAnsi"/>
          <w:color w:val="1D2228"/>
          <w:lang w:eastAsia="en-GB"/>
        </w:rPr>
        <w:t>In answering a specific question about NDP Policy HE6</w:t>
      </w:r>
      <w:r w:rsidR="00CE7123">
        <w:rPr>
          <w:rFonts w:eastAsia="Times New Roman" w:cstheme="minorHAnsi"/>
          <w:color w:val="1D2228"/>
          <w:lang w:eastAsia="en-GB"/>
        </w:rPr>
        <w:t>;</w:t>
      </w:r>
      <w:r w:rsidRPr="00CE7123">
        <w:rPr>
          <w:rFonts w:eastAsia="Times New Roman" w:cstheme="minorHAnsi"/>
          <w:color w:val="1D2228"/>
          <w:lang w:eastAsia="en-GB"/>
        </w:rPr>
        <w:t xml:space="preserve"> </w:t>
      </w:r>
      <w:r w:rsidRPr="00CE7123">
        <w:rPr>
          <w:rFonts w:eastAsia="Times New Roman" w:cstheme="minorHAnsi"/>
          <w:b/>
          <w:bCs/>
          <w:color w:val="1D2228"/>
          <w:lang w:eastAsia="en-GB"/>
        </w:rPr>
        <w:t>Planning Aid</w:t>
      </w:r>
      <w:r w:rsidRPr="00CE7123">
        <w:rPr>
          <w:rFonts w:eastAsia="Times New Roman" w:cstheme="minorHAnsi"/>
          <w:color w:val="1D2228"/>
          <w:lang w:eastAsia="en-GB"/>
        </w:rPr>
        <w:t xml:space="preserve"> said in their response is that</w:t>
      </w:r>
      <w:r w:rsidRPr="00CE7123">
        <w:rPr>
          <w:rFonts w:eastAsia="Times New Roman" w:cstheme="minorHAnsi"/>
          <w:i/>
          <w:iCs/>
          <w:color w:val="1D2228"/>
          <w:lang w:eastAsia="en-GB"/>
        </w:rPr>
        <w:t xml:space="preserve"> “SDC should avoid “conflict” with the NDP and need good evidence and reasons for its inclusion”</w:t>
      </w:r>
      <w:r w:rsidRPr="00CE7123">
        <w:rPr>
          <w:rFonts w:eastAsia="Times New Roman" w:cstheme="minorHAnsi"/>
          <w:color w:val="1D2228"/>
          <w:lang w:eastAsia="en-GB"/>
        </w:rPr>
        <w:t xml:space="preserve">. </w:t>
      </w:r>
      <w:r w:rsidR="00C8507E">
        <w:rPr>
          <w:rFonts w:eastAsia="Times New Roman" w:cstheme="minorHAnsi"/>
          <w:color w:val="1D2228"/>
          <w:lang w:eastAsia="en-GB"/>
        </w:rPr>
        <w:t>We</w:t>
      </w:r>
      <w:r w:rsidRPr="00CE7123">
        <w:rPr>
          <w:rFonts w:eastAsia="Times New Roman" w:cstheme="minorHAnsi"/>
          <w:color w:val="1D2228"/>
          <w:lang w:eastAsia="en-GB"/>
        </w:rPr>
        <w:t xml:space="preserve"> think it is fair to say that we haven’t seen any such evidence. </w:t>
      </w:r>
    </w:p>
    <w:p w14:paraId="3528E163" w14:textId="49E2D68A" w:rsidR="00CE7123" w:rsidRPr="00CE7123" w:rsidRDefault="00CE7123" w:rsidP="00C9219B">
      <w:pPr>
        <w:shd w:val="clear" w:color="auto" w:fill="FFFFFF"/>
        <w:spacing w:after="0" w:line="240" w:lineRule="auto"/>
        <w:rPr>
          <w:rFonts w:eastAsia="Times New Roman" w:cstheme="minorHAnsi"/>
          <w:lang w:val="en" w:eastAsia="en-GB"/>
        </w:rPr>
      </w:pPr>
      <w:r w:rsidRPr="00CE7123">
        <w:rPr>
          <w:rFonts w:eastAsia="Times New Roman" w:cstheme="minorHAnsi"/>
          <w:lang w:val="en" w:eastAsia="en-GB"/>
        </w:rPr>
        <w:t xml:space="preserve">It is also </w:t>
      </w:r>
      <w:r>
        <w:rPr>
          <w:rFonts w:eastAsia="Times New Roman" w:cstheme="minorHAnsi"/>
          <w:lang w:val="en" w:eastAsia="en-GB"/>
        </w:rPr>
        <w:t>in</w:t>
      </w:r>
      <w:r w:rsidRPr="00CE7123">
        <w:rPr>
          <w:rFonts w:eastAsia="Times New Roman" w:cstheme="minorHAnsi"/>
          <w:lang w:val="en" w:eastAsia="en-GB"/>
        </w:rPr>
        <w:t xml:space="preserve">consistent with Policies CS.15, CS.16 and AS.10 of the Core Strategy. </w:t>
      </w:r>
      <w:r w:rsidRPr="00CE7123">
        <w:rPr>
          <w:rFonts w:cstheme="minorHAnsi"/>
        </w:rPr>
        <w:t xml:space="preserve">This site should therefore be assessed as </w:t>
      </w:r>
      <w:r w:rsidRPr="00CE7123">
        <w:rPr>
          <w:rFonts w:cstheme="minorHAnsi"/>
          <w:b/>
          <w:color w:val="FF0000"/>
        </w:rPr>
        <w:t>RED</w:t>
      </w:r>
      <w:r w:rsidRPr="00CE7123">
        <w:rPr>
          <w:rFonts w:cstheme="minorHAnsi"/>
        </w:rPr>
        <w:t>.</w:t>
      </w:r>
    </w:p>
    <w:p w14:paraId="1D95A114" w14:textId="77777777" w:rsidR="00CE7123" w:rsidRPr="00CE7123" w:rsidRDefault="00CE7123" w:rsidP="00C9219B">
      <w:pPr>
        <w:shd w:val="clear" w:color="auto" w:fill="FFFFFF"/>
        <w:spacing w:after="0" w:line="240" w:lineRule="auto"/>
        <w:rPr>
          <w:rFonts w:eastAsia="Times New Roman" w:cstheme="minorHAnsi"/>
          <w:lang w:val="en" w:eastAsia="en-GB"/>
        </w:rPr>
      </w:pPr>
    </w:p>
    <w:p w14:paraId="3BED5CF7" w14:textId="0AA43F26" w:rsidR="00CE7123" w:rsidRPr="00F7230A" w:rsidRDefault="00CE7123" w:rsidP="00C9219B">
      <w:pPr>
        <w:shd w:val="clear" w:color="auto" w:fill="FFFFFF"/>
        <w:spacing w:after="0" w:line="240" w:lineRule="auto"/>
        <w:rPr>
          <w:rFonts w:eastAsia="Times New Roman" w:cstheme="minorHAnsi"/>
          <w:b/>
          <w:bCs/>
          <w:lang w:val="en" w:eastAsia="en-GB"/>
        </w:rPr>
      </w:pPr>
      <w:r w:rsidRPr="00CE7123">
        <w:rPr>
          <w:rFonts w:eastAsia="Times New Roman" w:cstheme="minorHAnsi"/>
          <w:b/>
          <w:bCs/>
          <w:lang w:val="en" w:eastAsia="en-GB"/>
        </w:rPr>
        <w:t>Grade 2 Agricultural Land:</w:t>
      </w:r>
    </w:p>
    <w:p w14:paraId="4D271E93" w14:textId="77777777" w:rsidR="00F7230A" w:rsidRPr="00F7230A" w:rsidRDefault="00F7230A" w:rsidP="00F7230A">
      <w:pPr>
        <w:shd w:val="clear" w:color="auto" w:fill="FFFFFF"/>
        <w:spacing w:after="0" w:line="240" w:lineRule="auto"/>
        <w:rPr>
          <w:rFonts w:eastAsia="Times New Roman" w:cstheme="minorHAnsi"/>
          <w:lang w:val="en" w:eastAsia="en-GB"/>
        </w:rPr>
      </w:pPr>
      <w:r w:rsidRPr="00F7230A">
        <w:rPr>
          <w:rFonts w:eastAsia="Times New Roman" w:cstheme="minorHAnsi"/>
          <w:lang w:val="en" w:eastAsia="en-GB"/>
        </w:rPr>
        <w:t>Recent soil surveys for this land showed it to be wholly Grade 2 – the best grade available in the District.  And development would remove this excellent land from food production forever.</w:t>
      </w:r>
    </w:p>
    <w:p w14:paraId="4C9E2B68" w14:textId="0C784165" w:rsidR="00D37407" w:rsidRDefault="005137BC" w:rsidP="005137BC">
      <w:pPr>
        <w:autoSpaceDE w:val="0"/>
        <w:autoSpaceDN w:val="0"/>
        <w:adjustRightInd w:val="0"/>
        <w:jc w:val="both"/>
      </w:pPr>
      <w:r w:rsidRPr="00835404">
        <w:rPr>
          <w:b/>
        </w:rPr>
        <w:lastRenderedPageBreak/>
        <w:t>Public Transport</w:t>
      </w:r>
      <w:r w:rsidR="00D37407">
        <w:rPr>
          <w:b/>
        </w:rPr>
        <w:t>:</w:t>
      </w:r>
      <w:r>
        <w:t xml:space="preserve">  </w:t>
      </w:r>
    </w:p>
    <w:p w14:paraId="27227624" w14:textId="6AA591D2" w:rsidR="005137BC" w:rsidRDefault="005137BC" w:rsidP="005137BC">
      <w:pPr>
        <w:autoSpaceDE w:val="0"/>
        <w:autoSpaceDN w:val="0"/>
        <w:adjustRightInd w:val="0"/>
        <w:jc w:val="both"/>
      </w:pPr>
      <w:r>
        <w:t>Table ii of the SEC says that if a site is not within 400m of a bus service, the site should be assessed as</w:t>
      </w:r>
      <w:r w:rsidRPr="002C2FCB">
        <w:t xml:space="preserve"> </w:t>
      </w:r>
      <w:r w:rsidRPr="00D37407">
        <w:rPr>
          <w:color w:val="FF0000"/>
        </w:rPr>
        <w:t>RED</w:t>
      </w:r>
      <w:r>
        <w:rPr>
          <w:b/>
        </w:rPr>
        <w:t xml:space="preserve">.  </w:t>
      </w:r>
      <w:r>
        <w:t>This site is not within 400 metres of a bus service</w:t>
      </w:r>
      <w:r w:rsidR="00D37407">
        <w:t xml:space="preserve"> </w:t>
      </w:r>
      <w:r>
        <w:t xml:space="preserve">and should therefore be assessed as </w:t>
      </w:r>
      <w:r w:rsidRPr="00D37407">
        <w:rPr>
          <w:b/>
          <w:color w:val="FF0000"/>
        </w:rPr>
        <w:t>RED</w:t>
      </w:r>
      <w:r w:rsidR="00D37407">
        <w:rPr>
          <w:b/>
          <w:color w:val="FF0000"/>
        </w:rPr>
        <w:t xml:space="preserve">. </w:t>
      </w:r>
      <w:r w:rsidR="00D37407" w:rsidRPr="00D37407">
        <w:rPr>
          <w:b/>
        </w:rPr>
        <w:t>N</w:t>
      </w:r>
      <w:r w:rsidRPr="00D37407">
        <w:rPr>
          <w:b/>
        </w:rPr>
        <w:t xml:space="preserve">ot as </w:t>
      </w:r>
      <w:r w:rsidRPr="00D37407">
        <w:rPr>
          <w:b/>
          <w:color w:val="FFC000"/>
        </w:rPr>
        <w:t>amber</w:t>
      </w:r>
      <w:r>
        <w:t xml:space="preserve"> as shown in the LPA and appendix VIII.</w:t>
      </w:r>
    </w:p>
    <w:p w14:paraId="6CF20401" w14:textId="77777777" w:rsidR="00D37407" w:rsidRDefault="005137BC" w:rsidP="005137BC">
      <w:pPr>
        <w:autoSpaceDE w:val="0"/>
        <w:autoSpaceDN w:val="0"/>
        <w:adjustRightInd w:val="0"/>
        <w:jc w:val="both"/>
        <w:rPr>
          <w:rFonts w:eastAsia="Times New Roman" w:cstheme="minorHAnsi"/>
          <w:lang w:val="en" w:eastAsia="en-GB"/>
        </w:rPr>
      </w:pPr>
      <w:r w:rsidRPr="00DB6EB0">
        <w:rPr>
          <w:rFonts w:eastAsia="Times New Roman" w:cstheme="minorHAnsi"/>
          <w:b/>
          <w:lang w:val="en" w:eastAsia="en-GB"/>
        </w:rPr>
        <w:t>Accessibility to Local Facilities</w:t>
      </w:r>
      <w:r w:rsidR="00D37407">
        <w:rPr>
          <w:rFonts w:eastAsia="Times New Roman" w:cstheme="minorHAnsi"/>
          <w:lang w:val="en" w:eastAsia="en-GB"/>
        </w:rPr>
        <w:t>:</w:t>
      </w:r>
    </w:p>
    <w:p w14:paraId="701B10ED" w14:textId="00A0C035" w:rsidR="005137BC" w:rsidRPr="00C3027C" w:rsidRDefault="005137BC" w:rsidP="005137BC">
      <w:pPr>
        <w:autoSpaceDE w:val="0"/>
        <w:autoSpaceDN w:val="0"/>
        <w:adjustRightInd w:val="0"/>
        <w:jc w:val="both"/>
        <w:rPr>
          <w:rFonts w:eastAsia="Times New Roman" w:cstheme="minorHAnsi"/>
          <w:lang w:val="en" w:eastAsia="en-GB"/>
        </w:rPr>
      </w:pPr>
      <w:r>
        <w:rPr>
          <w:rFonts w:eastAsia="Times New Roman" w:cstheme="minorHAnsi"/>
          <w:lang w:val="en" w:eastAsia="en-GB"/>
        </w:rPr>
        <w:t>The SEC says that if the</w:t>
      </w:r>
      <w:r w:rsidRPr="00DB6EB0">
        <w:rPr>
          <w:rFonts w:eastAsia="Times New Roman" w:cstheme="minorHAnsi"/>
          <w:lang w:val="en" w:eastAsia="en-GB"/>
        </w:rPr>
        <w:t xml:space="preserve"> site </w:t>
      </w:r>
      <w:r>
        <w:rPr>
          <w:rFonts w:eastAsia="Times New Roman" w:cstheme="minorHAnsi"/>
          <w:lang w:val="en" w:eastAsia="en-GB"/>
        </w:rPr>
        <w:t xml:space="preserve">is not within 800 metres of </w:t>
      </w:r>
      <w:r w:rsidRPr="00DB6EB0">
        <w:rPr>
          <w:rFonts w:eastAsia="Times New Roman" w:cstheme="minorHAnsi"/>
          <w:lang w:val="en" w:eastAsia="en-GB"/>
        </w:rPr>
        <w:t>local services and facilities (</w:t>
      </w:r>
      <w:proofErr w:type="spellStart"/>
      <w:r w:rsidRPr="00DB6EB0">
        <w:rPr>
          <w:rFonts w:eastAsia="Times New Roman" w:cstheme="minorHAnsi"/>
          <w:lang w:val="en" w:eastAsia="en-GB"/>
        </w:rPr>
        <w:t>eg.</w:t>
      </w:r>
      <w:proofErr w:type="spellEnd"/>
      <w:r w:rsidRPr="00DB6EB0">
        <w:rPr>
          <w:rFonts w:eastAsia="Times New Roman" w:cstheme="minorHAnsi"/>
          <w:lang w:val="en" w:eastAsia="en-GB"/>
        </w:rPr>
        <w:t xml:space="preserve"> shop, school, doctor’s surgery) </w:t>
      </w:r>
      <w:r>
        <w:rPr>
          <w:rFonts w:eastAsia="Times New Roman" w:cstheme="minorHAnsi"/>
          <w:lang w:val="en" w:eastAsia="en-GB"/>
        </w:rPr>
        <w:t xml:space="preserve">it should be assessed as RED.  There is a shop within 800 metres of the site; </w:t>
      </w:r>
      <w:r w:rsidR="00D37407" w:rsidRPr="00D37407">
        <w:rPr>
          <w:rFonts w:eastAsia="Times New Roman" w:cstheme="minorHAnsi"/>
          <w:b/>
          <w:bCs/>
          <w:lang w:val="en" w:eastAsia="en-GB"/>
        </w:rPr>
        <w:t>however,</w:t>
      </w:r>
      <w:r w:rsidRPr="00D37407">
        <w:rPr>
          <w:rFonts w:eastAsia="Times New Roman" w:cstheme="minorHAnsi"/>
          <w:b/>
          <w:bCs/>
          <w:lang w:val="en" w:eastAsia="en-GB"/>
        </w:rPr>
        <w:t xml:space="preserve"> the nearest school is 1300 metres from the site</w:t>
      </w:r>
      <w:r>
        <w:rPr>
          <w:rFonts w:eastAsia="Times New Roman" w:cstheme="minorHAnsi"/>
          <w:lang w:val="en" w:eastAsia="en-GB"/>
        </w:rPr>
        <w:t xml:space="preserve"> and the nearest </w:t>
      </w:r>
      <w:proofErr w:type="gramStart"/>
      <w:r>
        <w:rPr>
          <w:rFonts w:eastAsia="Times New Roman" w:cstheme="minorHAnsi"/>
          <w:lang w:val="en" w:eastAsia="en-GB"/>
        </w:rPr>
        <w:t>doctors</w:t>
      </w:r>
      <w:proofErr w:type="gramEnd"/>
      <w:r>
        <w:rPr>
          <w:rFonts w:eastAsia="Times New Roman" w:cstheme="minorHAnsi"/>
          <w:lang w:val="en" w:eastAsia="en-GB"/>
        </w:rPr>
        <w:t xml:space="preserve"> surgery is 6km f</w:t>
      </w:r>
      <w:r w:rsidR="00F7230A">
        <w:rPr>
          <w:rFonts w:eastAsia="Times New Roman" w:cstheme="minorHAnsi"/>
          <w:lang w:val="en" w:eastAsia="en-GB"/>
        </w:rPr>
        <w:t>ro</w:t>
      </w:r>
      <w:r>
        <w:rPr>
          <w:rFonts w:eastAsia="Times New Roman" w:cstheme="minorHAnsi"/>
          <w:lang w:val="en" w:eastAsia="en-GB"/>
        </w:rPr>
        <w:t xml:space="preserve">m the site.  This </w:t>
      </w:r>
      <w:r w:rsidR="00654B37">
        <w:rPr>
          <w:rFonts w:eastAsia="Times New Roman" w:cstheme="minorHAnsi"/>
          <w:lang w:val="en" w:eastAsia="en-GB"/>
        </w:rPr>
        <w:t xml:space="preserve">site </w:t>
      </w:r>
      <w:r>
        <w:rPr>
          <w:rFonts w:eastAsia="Times New Roman" w:cstheme="minorHAnsi"/>
          <w:lang w:val="en" w:eastAsia="en-GB"/>
        </w:rPr>
        <w:t xml:space="preserve">should therefore </w:t>
      </w:r>
      <w:r w:rsidR="00654B37">
        <w:rPr>
          <w:rFonts w:eastAsia="Times New Roman" w:cstheme="minorHAnsi"/>
          <w:lang w:val="en" w:eastAsia="en-GB"/>
        </w:rPr>
        <w:t xml:space="preserve">be </w:t>
      </w:r>
      <w:r>
        <w:rPr>
          <w:rFonts w:eastAsia="Times New Roman" w:cstheme="minorHAnsi"/>
          <w:lang w:val="en" w:eastAsia="en-GB"/>
        </w:rPr>
        <w:t xml:space="preserve">assessed as </w:t>
      </w:r>
      <w:r w:rsidRPr="00654B37">
        <w:rPr>
          <w:rFonts w:eastAsia="Times New Roman" w:cstheme="minorHAnsi"/>
          <w:b/>
          <w:color w:val="FF0000"/>
          <w:lang w:val="en" w:eastAsia="en-GB"/>
        </w:rPr>
        <w:t>RED</w:t>
      </w:r>
      <w:r w:rsidR="00654B37">
        <w:rPr>
          <w:rFonts w:eastAsia="Times New Roman" w:cstheme="minorHAnsi"/>
          <w:b/>
          <w:lang w:val="en" w:eastAsia="en-GB"/>
        </w:rPr>
        <w:t xml:space="preserve">, </w:t>
      </w:r>
      <w:r w:rsidRPr="00654B37">
        <w:rPr>
          <w:rFonts w:eastAsia="Times New Roman" w:cstheme="minorHAnsi"/>
          <w:b/>
          <w:bCs/>
          <w:lang w:val="en" w:eastAsia="en-GB"/>
        </w:rPr>
        <w:t>not</w:t>
      </w:r>
      <w:r>
        <w:rPr>
          <w:rFonts w:eastAsia="Times New Roman" w:cstheme="minorHAnsi"/>
          <w:lang w:val="en" w:eastAsia="en-GB"/>
        </w:rPr>
        <w:t xml:space="preserve"> </w:t>
      </w:r>
      <w:r w:rsidRPr="00654B37">
        <w:rPr>
          <w:rFonts w:eastAsia="Times New Roman" w:cstheme="minorHAnsi"/>
          <w:b/>
          <w:bCs/>
          <w:color w:val="FFC000"/>
          <w:lang w:val="en" w:eastAsia="en-GB"/>
        </w:rPr>
        <w:t>amber</w:t>
      </w:r>
      <w:r>
        <w:rPr>
          <w:rFonts w:eastAsia="Times New Roman" w:cstheme="minorHAnsi"/>
          <w:lang w:val="en" w:eastAsia="en-GB"/>
        </w:rPr>
        <w:t>.</w:t>
      </w:r>
    </w:p>
    <w:p w14:paraId="162144EB" w14:textId="77777777" w:rsidR="00654B37" w:rsidRDefault="005137BC" w:rsidP="005137BC">
      <w:pPr>
        <w:autoSpaceDE w:val="0"/>
        <w:autoSpaceDN w:val="0"/>
        <w:adjustRightInd w:val="0"/>
        <w:jc w:val="both"/>
        <w:rPr>
          <w:rFonts w:eastAsia="Times New Roman" w:cstheme="minorHAnsi"/>
          <w:b/>
          <w:lang w:val="en" w:eastAsia="en-GB"/>
        </w:rPr>
      </w:pPr>
      <w:r w:rsidRPr="00C3027C">
        <w:rPr>
          <w:rFonts w:eastAsia="Times New Roman" w:cstheme="minorHAnsi"/>
          <w:b/>
          <w:lang w:val="en" w:eastAsia="en-GB"/>
        </w:rPr>
        <w:t>Traffic</w:t>
      </w:r>
      <w:r w:rsidR="00654B37">
        <w:rPr>
          <w:rFonts w:eastAsia="Times New Roman" w:cstheme="minorHAnsi"/>
          <w:b/>
          <w:lang w:val="en" w:eastAsia="en-GB"/>
        </w:rPr>
        <w:t>:</w:t>
      </w:r>
    </w:p>
    <w:p w14:paraId="6CF7EB61" w14:textId="16C9CC7E" w:rsidR="00654B37" w:rsidRDefault="005137BC" w:rsidP="005137BC">
      <w:pPr>
        <w:autoSpaceDE w:val="0"/>
        <w:autoSpaceDN w:val="0"/>
        <w:adjustRightInd w:val="0"/>
        <w:jc w:val="both"/>
        <w:rPr>
          <w:rFonts w:eastAsia="Times New Roman" w:cstheme="minorHAnsi"/>
          <w:lang w:val="en" w:eastAsia="en-GB"/>
        </w:rPr>
      </w:pPr>
      <w:r>
        <w:rPr>
          <w:rFonts w:eastAsia="Times New Roman" w:cstheme="minorHAnsi"/>
          <w:lang w:val="en" w:eastAsia="en-GB"/>
        </w:rPr>
        <w:t xml:space="preserve">The table in Appendix VIII </w:t>
      </w:r>
      <w:r w:rsidR="00654B37">
        <w:rPr>
          <w:rFonts w:eastAsia="Times New Roman" w:cstheme="minorHAnsi"/>
          <w:lang w:val="en" w:eastAsia="en-GB"/>
        </w:rPr>
        <w:t>o</w:t>
      </w:r>
      <w:r>
        <w:rPr>
          <w:rFonts w:eastAsia="Times New Roman" w:cstheme="minorHAnsi"/>
          <w:lang w:val="en" w:eastAsia="en-GB"/>
        </w:rPr>
        <w:t>f the Site Allocation</w:t>
      </w:r>
      <w:r w:rsidR="0070164E">
        <w:rPr>
          <w:rFonts w:eastAsia="Times New Roman" w:cstheme="minorHAnsi"/>
          <w:lang w:val="en" w:eastAsia="en-GB"/>
        </w:rPr>
        <w:t>s</w:t>
      </w:r>
      <w:r>
        <w:rPr>
          <w:rFonts w:eastAsia="Times New Roman" w:cstheme="minorHAnsi"/>
          <w:lang w:val="en" w:eastAsia="en-GB"/>
        </w:rPr>
        <w:t xml:space="preserve"> Plan shows that increased traffic will have a neutral effect.  That is clearly incorrect; any increased traffic will have a negative effect.  </w:t>
      </w:r>
    </w:p>
    <w:p w14:paraId="0BE1C2C5" w14:textId="4711E796" w:rsidR="00C9219B" w:rsidRDefault="005137BC" w:rsidP="005137BC">
      <w:pPr>
        <w:autoSpaceDE w:val="0"/>
        <w:autoSpaceDN w:val="0"/>
        <w:adjustRightInd w:val="0"/>
        <w:jc w:val="both"/>
      </w:pPr>
      <w:r w:rsidRPr="006505B1">
        <w:t xml:space="preserve">In their letter </w:t>
      </w:r>
      <w:r w:rsidR="00654B37">
        <w:t xml:space="preserve">of the </w:t>
      </w:r>
      <w:r w:rsidRPr="006505B1">
        <w:t>5</w:t>
      </w:r>
      <w:r w:rsidR="00654B37" w:rsidRPr="00654B37">
        <w:rPr>
          <w:vertAlign w:val="superscript"/>
        </w:rPr>
        <w:t>th</w:t>
      </w:r>
      <w:r w:rsidR="00654B37">
        <w:t xml:space="preserve"> </w:t>
      </w:r>
      <w:r w:rsidRPr="006505B1">
        <w:t xml:space="preserve">February 2019 in respect of a Planning Application for 35 houses </w:t>
      </w:r>
      <w:r>
        <w:t xml:space="preserve">at this particular site, WCC Highways stated </w:t>
      </w:r>
      <w:r w:rsidRPr="00654B37">
        <w:rPr>
          <w:i/>
          <w:iCs/>
        </w:rPr>
        <w:t>“At present the Highway Authority has concluded that the</w:t>
      </w:r>
      <w:r w:rsidR="00C8507E">
        <w:rPr>
          <w:i/>
          <w:iCs/>
        </w:rPr>
        <w:t>re</w:t>
      </w:r>
      <w:r w:rsidRPr="00654B37">
        <w:rPr>
          <w:i/>
          <w:iCs/>
        </w:rPr>
        <w:t xml:space="preserve"> is insufficient capacity to accommodate significant levels of development south of the River Avon without the provision of a further crossing in the form of the South Western Relief Road.”</w:t>
      </w:r>
      <w:r>
        <w:t xml:space="preserve">  WCC were sufficiently concerned about the effect of 35 new houses on the road network to request detailed traffic modelling for this one site.  </w:t>
      </w:r>
    </w:p>
    <w:p w14:paraId="4DE4018E" w14:textId="77777777" w:rsidR="00E76B5F" w:rsidRDefault="005137BC" w:rsidP="005137BC">
      <w:pPr>
        <w:autoSpaceDE w:val="0"/>
        <w:autoSpaceDN w:val="0"/>
        <w:adjustRightInd w:val="0"/>
        <w:jc w:val="both"/>
        <w:rPr>
          <w:b/>
        </w:rPr>
      </w:pPr>
      <w:r>
        <w:rPr>
          <w:b/>
        </w:rPr>
        <w:t>Overall Assess</w:t>
      </w:r>
      <w:r w:rsidRPr="00835404">
        <w:rPr>
          <w:b/>
        </w:rPr>
        <w:t>ment</w:t>
      </w:r>
      <w:r w:rsidR="00E76B5F">
        <w:rPr>
          <w:b/>
        </w:rPr>
        <w:t>:</w:t>
      </w:r>
    </w:p>
    <w:p w14:paraId="61FFB04B" w14:textId="07FDB131" w:rsidR="005137BC" w:rsidRDefault="00E76B5F" w:rsidP="005137BC">
      <w:pPr>
        <w:autoSpaceDE w:val="0"/>
        <w:autoSpaceDN w:val="0"/>
        <w:adjustRightInd w:val="0"/>
        <w:jc w:val="both"/>
      </w:pPr>
      <w:r>
        <w:t>A</w:t>
      </w:r>
      <w:r w:rsidR="005137BC">
        <w:t xml:space="preserve">t present the </w:t>
      </w:r>
      <w:r w:rsidR="005137BC" w:rsidRPr="00E76B5F">
        <w:rPr>
          <w:b/>
          <w:bCs/>
        </w:rPr>
        <w:t xml:space="preserve">LPA shows </w:t>
      </w:r>
      <w:r w:rsidR="005137BC" w:rsidRPr="00E76B5F">
        <w:rPr>
          <w:b/>
          <w:bCs/>
          <w:color w:val="FF0000"/>
        </w:rPr>
        <w:t>RED</w:t>
      </w:r>
      <w:r w:rsidR="005137BC" w:rsidRPr="00E76B5F">
        <w:rPr>
          <w:b/>
          <w:bCs/>
        </w:rPr>
        <w:t xml:space="preserve"> against 2 of the 4 criteria; this should be 4 </w:t>
      </w:r>
      <w:r w:rsidR="005137BC" w:rsidRPr="00E76B5F">
        <w:rPr>
          <w:b/>
          <w:bCs/>
          <w:color w:val="FF0000"/>
        </w:rPr>
        <w:t>RED</w:t>
      </w:r>
      <w:r>
        <w:rPr>
          <w:b/>
          <w:bCs/>
          <w:color w:val="FF0000"/>
        </w:rPr>
        <w:t>’</w:t>
      </w:r>
      <w:r w:rsidR="005137BC" w:rsidRPr="00E76B5F">
        <w:rPr>
          <w:b/>
          <w:bCs/>
          <w:color w:val="FF0000"/>
        </w:rPr>
        <w:t>s</w:t>
      </w:r>
      <w:r w:rsidR="005137BC">
        <w:t xml:space="preserve">.  The initial assessment of the site is undeliverable but mitigation is proposed.  </w:t>
      </w:r>
      <w:r>
        <w:t>T</w:t>
      </w:r>
      <w:r w:rsidR="005137BC">
        <w:t xml:space="preserve">he mitigation proposed relates </w:t>
      </w:r>
      <w:r w:rsidR="005137BC" w:rsidRPr="00E76B5F">
        <w:rPr>
          <w:b/>
          <w:bCs/>
        </w:rPr>
        <w:t>only to landscape</w:t>
      </w:r>
      <w:r>
        <w:t xml:space="preserve"> and </w:t>
      </w:r>
      <w:r w:rsidR="005137BC">
        <w:t>will not alter the other major factors that would prevent delivery</w:t>
      </w:r>
      <w:r>
        <w:t>. A</w:t>
      </w:r>
      <w:r w:rsidR="005137BC">
        <w:t xml:space="preserve">chievability, </w:t>
      </w:r>
      <w:r>
        <w:t>A</w:t>
      </w:r>
      <w:r w:rsidR="005137BC">
        <w:t xml:space="preserve">gricultural </w:t>
      </w:r>
      <w:r>
        <w:t>L</w:t>
      </w:r>
      <w:r w:rsidR="005137BC">
        <w:t xml:space="preserve">and, </w:t>
      </w:r>
      <w:r>
        <w:t>P</w:t>
      </w:r>
      <w:r w:rsidR="005137BC">
        <w:t xml:space="preserve">ublic </w:t>
      </w:r>
      <w:r>
        <w:t>T</w:t>
      </w:r>
      <w:r w:rsidR="005137BC">
        <w:t xml:space="preserve">ransport, </w:t>
      </w:r>
      <w:r>
        <w:t>L</w:t>
      </w:r>
      <w:r w:rsidR="005137BC">
        <w:t xml:space="preserve">ocal </w:t>
      </w:r>
      <w:r>
        <w:t>F</w:t>
      </w:r>
      <w:r w:rsidR="005137BC">
        <w:t>acilities</w:t>
      </w:r>
      <w:r>
        <w:t xml:space="preserve"> and</w:t>
      </w:r>
      <w:r w:rsidR="005137BC">
        <w:t xml:space="preserve"> </w:t>
      </w:r>
      <w:r>
        <w:t>T</w:t>
      </w:r>
      <w:r w:rsidR="005137BC">
        <w:t xml:space="preserve">raffic. </w:t>
      </w:r>
      <w:r w:rsidR="005137BC" w:rsidRPr="00E76B5F">
        <w:rPr>
          <w:b/>
          <w:bCs/>
        </w:rPr>
        <w:t xml:space="preserve">The overall assessment should be </w:t>
      </w:r>
      <w:r w:rsidR="005137BC" w:rsidRPr="00E76B5F">
        <w:rPr>
          <w:b/>
          <w:bCs/>
          <w:color w:val="FF0000"/>
        </w:rPr>
        <w:t>RED</w:t>
      </w:r>
      <w:r>
        <w:rPr>
          <w:b/>
        </w:rPr>
        <w:t xml:space="preserve">, </w:t>
      </w:r>
      <w:r w:rsidRPr="00E76B5F">
        <w:rPr>
          <w:bCs/>
        </w:rPr>
        <w:t xml:space="preserve">the site is </w:t>
      </w:r>
      <w:r w:rsidR="005137BC" w:rsidRPr="00E76B5F">
        <w:rPr>
          <w:bCs/>
        </w:rPr>
        <w:t>undeliverable</w:t>
      </w:r>
      <w:r w:rsidR="005137BC">
        <w:t>.</w:t>
      </w:r>
    </w:p>
    <w:p w14:paraId="2A83507C" w14:textId="251D2429" w:rsidR="00CE7123" w:rsidRDefault="00CE7123" w:rsidP="005137BC">
      <w:pPr>
        <w:autoSpaceDE w:val="0"/>
        <w:autoSpaceDN w:val="0"/>
        <w:adjustRightInd w:val="0"/>
        <w:jc w:val="both"/>
        <w:rPr>
          <w:rFonts w:eastAsia="Times New Roman" w:cstheme="minorHAnsi"/>
          <w:lang w:eastAsia="en-GB"/>
        </w:rPr>
      </w:pPr>
    </w:p>
    <w:p w14:paraId="6A00FEA7" w14:textId="77777777" w:rsidR="00347C0F" w:rsidRDefault="00347C0F" w:rsidP="005137BC">
      <w:pPr>
        <w:autoSpaceDE w:val="0"/>
        <w:autoSpaceDN w:val="0"/>
        <w:adjustRightInd w:val="0"/>
        <w:jc w:val="both"/>
        <w:rPr>
          <w:rFonts w:eastAsia="Times New Roman" w:cstheme="minorHAnsi"/>
          <w:lang w:eastAsia="en-GB"/>
        </w:rPr>
      </w:pPr>
    </w:p>
    <w:p w14:paraId="105B4118" w14:textId="33267F0C" w:rsidR="005137BC" w:rsidRDefault="00E76B5F" w:rsidP="005137BC">
      <w:pPr>
        <w:autoSpaceDE w:val="0"/>
        <w:autoSpaceDN w:val="0"/>
        <w:adjustRightInd w:val="0"/>
        <w:jc w:val="both"/>
        <w:rPr>
          <w:b/>
          <w:u w:val="single"/>
        </w:rPr>
      </w:pPr>
      <w:r>
        <w:rPr>
          <w:b/>
        </w:rPr>
        <w:t>6.3</w:t>
      </w:r>
      <w:r>
        <w:rPr>
          <w:b/>
        </w:rPr>
        <w:tab/>
      </w:r>
      <w:r w:rsidR="005137BC" w:rsidRPr="00C9219B">
        <w:rPr>
          <w:b/>
          <w:u w:val="single"/>
        </w:rPr>
        <w:t>WELF.B (App</w:t>
      </w:r>
      <w:r w:rsidRPr="00C9219B">
        <w:rPr>
          <w:b/>
          <w:u w:val="single"/>
        </w:rPr>
        <w:t>endix</w:t>
      </w:r>
      <w:r w:rsidR="005137BC" w:rsidRPr="00C9219B">
        <w:rPr>
          <w:b/>
          <w:u w:val="single"/>
        </w:rPr>
        <w:t xml:space="preserve"> VIII ref WELF.10) Land East of Hunt Hall Lane</w:t>
      </w:r>
    </w:p>
    <w:p w14:paraId="66E4CC32" w14:textId="30ECB923" w:rsidR="00480E27" w:rsidRPr="00480E27" w:rsidRDefault="00480E27" w:rsidP="00480E27">
      <w:pPr>
        <w:autoSpaceDE w:val="0"/>
        <w:autoSpaceDN w:val="0"/>
        <w:adjustRightInd w:val="0"/>
        <w:spacing w:line="240" w:lineRule="auto"/>
      </w:pPr>
      <w:r>
        <w:t>This location is not consistent with Policy CS.15.  Not only is it outside the Built-up Area Boundary, it is remote from the Built-up Area Boundary ie: not adjacent to it.</w:t>
      </w:r>
    </w:p>
    <w:p w14:paraId="536D5EC8" w14:textId="77777777" w:rsidR="00E76B5F" w:rsidRDefault="005137BC" w:rsidP="005137BC">
      <w:pPr>
        <w:autoSpaceDE w:val="0"/>
        <w:autoSpaceDN w:val="0"/>
        <w:adjustRightInd w:val="0"/>
        <w:jc w:val="both"/>
      </w:pPr>
      <w:r w:rsidRPr="006B1178">
        <w:rPr>
          <w:b/>
        </w:rPr>
        <w:t>Local Services</w:t>
      </w:r>
      <w:r w:rsidR="00E76B5F">
        <w:t>:</w:t>
      </w:r>
    </w:p>
    <w:p w14:paraId="11976D14" w14:textId="7D01329D" w:rsidR="005137BC" w:rsidRDefault="00E76B5F" w:rsidP="005137BC">
      <w:pPr>
        <w:autoSpaceDE w:val="0"/>
        <w:autoSpaceDN w:val="0"/>
        <w:adjustRightInd w:val="0"/>
        <w:jc w:val="both"/>
      </w:pPr>
      <w:r>
        <w:t>T</w:t>
      </w:r>
      <w:r w:rsidR="005137BC">
        <w:t>able ii of the SEC says that if a site is not within 800m of local services the site should be assessed as</w:t>
      </w:r>
      <w:r w:rsidR="005137BC" w:rsidRPr="002C2FCB">
        <w:t xml:space="preserve"> </w:t>
      </w:r>
      <w:r w:rsidR="005137BC" w:rsidRPr="00E76B5F">
        <w:rPr>
          <w:color w:val="FF0000"/>
        </w:rPr>
        <w:t>RED</w:t>
      </w:r>
      <w:r w:rsidR="005137BC">
        <w:t xml:space="preserve">.  This site is more than 800 metres from the nearest shop and </w:t>
      </w:r>
      <w:r w:rsidR="005137BC" w:rsidRPr="00E76B5F">
        <w:rPr>
          <w:b/>
          <w:bCs/>
        </w:rPr>
        <w:t>should therefore be assessed as</w:t>
      </w:r>
      <w:r w:rsidR="005137BC">
        <w:t xml:space="preserve"> </w:t>
      </w:r>
      <w:r w:rsidR="005137BC" w:rsidRPr="00E76B5F">
        <w:rPr>
          <w:b/>
          <w:color w:val="FF0000"/>
        </w:rPr>
        <w:t>RED</w:t>
      </w:r>
      <w:r w:rsidR="005137BC">
        <w:t xml:space="preserve"> and </w:t>
      </w:r>
      <w:r w:rsidR="005137BC" w:rsidRPr="00E76B5F">
        <w:rPr>
          <w:b/>
          <w:bCs/>
        </w:rPr>
        <w:t>not as green</w:t>
      </w:r>
      <w:r w:rsidR="005137BC">
        <w:t xml:space="preserve"> as shown in the LPA and Appendix VIII. </w:t>
      </w:r>
    </w:p>
    <w:p w14:paraId="1E383E2E" w14:textId="77777777" w:rsidR="00E76B5F" w:rsidRDefault="005137BC" w:rsidP="005137BC">
      <w:pPr>
        <w:pStyle w:val="Default"/>
        <w:spacing w:after="200" w:line="288" w:lineRule="auto"/>
        <w:jc w:val="both"/>
        <w:rPr>
          <w:rFonts w:asciiTheme="minorHAnsi" w:hAnsiTheme="minorHAnsi" w:cstheme="minorBidi"/>
          <w:b/>
          <w:color w:val="auto"/>
          <w:sz w:val="22"/>
          <w:szCs w:val="22"/>
        </w:rPr>
      </w:pPr>
      <w:r w:rsidRPr="006B1178">
        <w:rPr>
          <w:rFonts w:asciiTheme="minorHAnsi" w:hAnsiTheme="minorHAnsi" w:cstheme="minorBidi"/>
          <w:b/>
          <w:color w:val="auto"/>
          <w:sz w:val="22"/>
          <w:szCs w:val="22"/>
        </w:rPr>
        <w:t>Public Rights of Way</w:t>
      </w:r>
      <w:r w:rsidR="00E76B5F">
        <w:rPr>
          <w:rFonts w:asciiTheme="minorHAnsi" w:hAnsiTheme="minorHAnsi" w:cstheme="minorBidi"/>
          <w:b/>
          <w:color w:val="auto"/>
          <w:sz w:val="22"/>
          <w:szCs w:val="22"/>
        </w:rPr>
        <w:t>:</w:t>
      </w:r>
    </w:p>
    <w:p w14:paraId="667A27C9" w14:textId="77554187" w:rsidR="00D61596" w:rsidRDefault="005137BC" w:rsidP="00E76B5F">
      <w:pPr>
        <w:pStyle w:val="Default"/>
        <w:spacing w:after="200" w:line="288" w:lineRule="auto"/>
        <w:jc w:val="both"/>
        <w:rPr>
          <w:rFonts w:asciiTheme="minorHAnsi" w:hAnsiTheme="minorHAnsi" w:cstheme="minorBidi"/>
          <w:b/>
          <w:bCs/>
          <w:color w:val="auto"/>
          <w:sz w:val="22"/>
          <w:szCs w:val="22"/>
        </w:rPr>
      </w:pPr>
      <w:r>
        <w:rPr>
          <w:rFonts w:asciiTheme="minorHAnsi" w:hAnsiTheme="minorHAnsi" w:cstheme="minorBidi"/>
          <w:color w:val="auto"/>
          <w:sz w:val="22"/>
          <w:szCs w:val="22"/>
        </w:rPr>
        <w:t xml:space="preserve">The SEC says that a site where a public right of way runs along its edge should be assessed as </w:t>
      </w:r>
      <w:r w:rsidRPr="00E76B5F">
        <w:rPr>
          <w:rFonts w:asciiTheme="minorHAnsi" w:hAnsiTheme="minorHAnsi" w:cstheme="minorBidi"/>
          <w:b/>
          <w:bCs/>
          <w:color w:val="FFC000"/>
          <w:sz w:val="22"/>
          <w:szCs w:val="22"/>
        </w:rPr>
        <w:t>AMBER</w:t>
      </w:r>
      <w:r>
        <w:rPr>
          <w:rFonts w:asciiTheme="minorHAnsi" w:hAnsiTheme="minorHAnsi" w:cstheme="minorBidi"/>
          <w:color w:val="auto"/>
          <w:sz w:val="22"/>
          <w:szCs w:val="22"/>
        </w:rPr>
        <w:t xml:space="preserve">.  </w:t>
      </w:r>
      <w:r w:rsidRPr="00E76B5F">
        <w:rPr>
          <w:rFonts w:asciiTheme="minorHAnsi" w:hAnsiTheme="minorHAnsi" w:cstheme="minorBidi"/>
          <w:b/>
          <w:bCs/>
          <w:color w:val="auto"/>
          <w:sz w:val="22"/>
          <w:szCs w:val="22"/>
        </w:rPr>
        <w:t>The LPA incorrectly shows this as GREEN;</w:t>
      </w:r>
      <w:r>
        <w:rPr>
          <w:rFonts w:asciiTheme="minorHAnsi" w:hAnsiTheme="minorHAnsi" w:cstheme="minorBidi"/>
          <w:color w:val="auto"/>
          <w:sz w:val="22"/>
          <w:szCs w:val="22"/>
        </w:rPr>
        <w:t xml:space="preserve"> </w:t>
      </w:r>
      <w:r w:rsidRPr="00E76B5F">
        <w:rPr>
          <w:rFonts w:asciiTheme="minorHAnsi" w:hAnsiTheme="minorHAnsi" w:cstheme="minorBidi"/>
          <w:b/>
          <w:bCs/>
          <w:color w:val="auto"/>
          <w:sz w:val="22"/>
          <w:szCs w:val="22"/>
        </w:rPr>
        <w:t xml:space="preserve">Footpath SD 32 runs alongside the edge of </w:t>
      </w:r>
      <w:r w:rsidR="00C8507E">
        <w:rPr>
          <w:rFonts w:asciiTheme="minorHAnsi" w:hAnsiTheme="minorHAnsi" w:cstheme="minorBidi"/>
          <w:b/>
          <w:bCs/>
          <w:color w:val="auto"/>
          <w:sz w:val="22"/>
          <w:szCs w:val="22"/>
        </w:rPr>
        <w:t>t</w:t>
      </w:r>
      <w:r w:rsidRPr="00E76B5F">
        <w:rPr>
          <w:rFonts w:asciiTheme="minorHAnsi" w:hAnsiTheme="minorHAnsi" w:cstheme="minorBidi"/>
          <w:b/>
          <w:bCs/>
          <w:color w:val="auto"/>
          <w:sz w:val="22"/>
          <w:szCs w:val="22"/>
        </w:rPr>
        <w:t>his site.</w:t>
      </w:r>
    </w:p>
    <w:p w14:paraId="7EDCC74A" w14:textId="1CBFCD62" w:rsidR="00347C0F" w:rsidRDefault="00347C0F" w:rsidP="00E76B5F">
      <w:pPr>
        <w:pStyle w:val="Default"/>
        <w:spacing w:after="200" w:line="288" w:lineRule="auto"/>
        <w:jc w:val="both"/>
        <w:rPr>
          <w:rFonts w:asciiTheme="minorHAnsi" w:hAnsiTheme="minorHAnsi" w:cstheme="minorBidi"/>
          <w:b/>
          <w:bCs/>
          <w:color w:val="auto"/>
          <w:sz w:val="22"/>
          <w:szCs w:val="22"/>
        </w:rPr>
      </w:pPr>
    </w:p>
    <w:p w14:paraId="0536ED77" w14:textId="77777777" w:rsidR="00D61596" w:rsidRPr="00E76B5F" w:rsidRDefault="00D61596" w:rsidP="00E76B5F">
      <w:pPr>
        <w:pStyle w:val="Default"/>
        <w:spacing w:after="200" w:line="288" w:lineRule="auto"/>
        <w:jc w:val="both"/>
        <w:rPr>
          <w:rFonts w:asciiTheme="minorHAnsi" w:hAnsiTheme="minorHAnsi" w:cstheme="minorBidi"/>
          <w:b/>
          <w:bCs/>
          <w:color w:val="auto"/>
          <w:sz w:val="22"/>
          <w:szCs w:val="22"/>
        </w:rPr>
      </w:pPr>
    </w:p>
    <w:p w14:paraId="5A143EAE" w14:textId="7FA15C6D" w:rsidR="005137BC" w:rsidRDefault="00E76B5F" w:rsidP="005137BC">
      <w:pPr>
        <w:pStyle w:val="Default"/>
        <w:spacing w:after="200"/>
        <w:jc w:val="both"/>
        <w:rPr>
          <w:rFonts w:asciiTheme="minorHAnsi" w:hAnsiTheme="minorHAnsi" w:cstheme="minorBidi"/>
          <w:b/>
          <w:color w:val="auto"/>
          <w:sz w:val="22"/>
          <w:szCs w:val="22"/>
        </w:rPr>
      </w:pPr>
      <w:r>
        <w:rPr>
          <w:rFonts w:asciiTheme="minorHAnsi" w:hAnsiTheme="minorHAnsi" w:cstheme="minorBidi"/>
          <w:b/>
          <w:color w:val="auto"/>
          <w:sz w:val="22"/>
          <w:szCs w:val="22"/>
        </w:rPr>
        <w:t>6.4</w:t>
      </w:r>
      <w:r>
        <w:rPr>
          <w:rFonts w:asciiTheme="minorHAnsi" w:hAnsiTheme="minorHAnsi" w:cstheme="minorBidi"/>
          <w:b/>
          <w:color w:val="auto"/>
          <w:sz w:val="22"/>
          <w:szCs w:val="22"/>
        </w:rPr>
        <w:tab/>
      </w:r>
      <w:r w:rsidR="005137BC" w:rsidRPr="00C9219B">
        <w:rPr>
          <w:rFonts w:asciiTheme="minorHAnsi" w:hAnsiTheme="minorHAnsi" w:cstheme="minorBidi"/>
          <w:b/>
          <w:color w:val="auto"/>
          <w:sz w:val="22"/>
          <w:szCs w:val="22"/>
          <w:u w:val="single"/>
        </w:rPr>
        <w:t>WELF.C (App</w:t>
      </w:r>
      <w:r w:rsidRPr="00C9219B">
        <w:rPr>
          <w:rFonts w:asciiTheme="minorHAnsi" w:hAnsiTheme="minorHAnsi" w:cstheme="minorBidi"/>
          <w:b/>
          <w:color w:val="auto"/>
          <w:sz w:val="22"/>
          <w:szCs w:val="22"/>
          <w:u w:val="single"/>
        </w:rPr>
        <w:t>endix</w:t>
      </w:r>
      <w:r w:rsidR="005137BC" w:rsidRPr="00C9219B">
        <w:rPr>
          <w:rFonts w:asciiTheme="minorHAnsi" w:hAnsiTheme="minorHAnsi" w:cstheme="minorBidi"/>
          <w:b/>
          <w:color w:val="auto"/>
          <w:sz w:val="22"/>
          <w:szCs w:val="22"/>
          <w:u w:val="single"/>
        </w:rPr>
        <w:t xml:space="preserve"> VIII ref WELF.17) Land East of Hunt Hall Lane</w:t>
      </w:r>
    </w:p>
    <w:p w14:paraId="18D57971" w14:textId="17793FBA" w:rsidR="00480E27" w:rsidRPr="00480E27" w:rsidRDefault="00480E27" w:rsidP="00480E27">
      <w:pPr>
        <w:pStyle w:val="Default"/>
        <w:spacing w:after="200"/>
        <w:rPr>
          <w:rFonts w:asciiTheme="minorHAnsi" w:hAnsiTheme="minorHAnsi" w:cstheme="minorBidi"/>
          <w:color w:val="auto"/>
          <w:sz w:val="22"/>
          <w:szCs w:val="22"/>
        </w:rPr>
      </w:pPr>
      <w:r>
        <w:rPr>
          <w:rFonts w:asciiTheme="minorHAnsi" w:hAnsiTheme="minorHAnsi" w:cstheme="minorBidi"/>
          <w:color w:val="auto"/>
          <w:sz w:val="22"/>
          <w:szCs w:val="22"/>
        </w:rPr>
        <w:t>By SDC’s own admission, this site is not consistent with Core Strategy Policies CS.15, CS.16 or AS.10.</w:t>
      </w:r>
    </w:p>
    <w:p w14:paraId="24E3C000" w14:textId="54108545" w:rsidR="00E76B5F" w:rsidRPr="00E76B5F" w:rsidRDefault="00E76B5F" w:rsidP="005137BC">
      <w:pPr>
        <w:shd w:val="clear" w:color="auto" w:fill="FFFFFF"/>
        <w:jc w:val="both"/>
        <w:rPr>
          <w:b/>
          <w:bCs/>
        </w:rPr>
      </w:pPr>
      <w:r w:rsidRPr="00E76B5F">
        <w:rPr>
          <w:b/>
          <w:bCs/>
        </w:rPr>
        <w:lastRenderedPageBreak/>
        <w:t>Achievability:</w:t>
      </w:r>
    </w:p>
    <w:p w14:paraId="2DB803A3" w14:textId="049EB500" w:rsidR="005137BC" w:rsidRPr="00E76B5F" w:rsidRDefault="005137BC" w:rsidP="005137BC">
      <w:pPr>
        <w:shd w:val="clear" w:color="auto" w:fill="FFFFFF"/>
        <w:jc w:val="both"/>
        <w:rPr>
          <w:b/>
          <w:bCs/>
        </w:rPr>
      </w:pPr>
      <w:r w:rsidRPr="00C41CE6">
        <w:t xml:space="preserve">The SEC table “Achievability” says that a site with a history of planning </w:t>
      </w:r>
      <w:r w:rsidR="00E76B5F">
        <w:t>R</w:t>
      </w:r>
      <w:r w:rsidRPr="00C41CE6">
        <w:t xml:space="preserve">efusal </w:t>
      </w:r>
      <w:r>
        <w:t xml:space="preserve">or </w:t>
      </w:r>
      <w:r w:rsidR="00E76B5F">
        <w:t>A</w:t>
      </w:r>
      <w:r>
        <w:t xml:space="preserve">ppeal </w:t>
      </w:r>
      <w:r w:rsidR="00E76B5F">
        <w:t>D</w:t>
      </w:r>
      <w:r>
        <w:t xml:space="preserve">ismissal </w:t>
      </w:r>
      <w:r w:rsidRPr="00C41CE6">
        <w:t xml:space="preserve">should be assessed as </w:t>
      </w:r>
      <w:r w:rsidRPr="00E76B5F">
        <w:rPr>
          <w:color w:val="FF0000"/>
        </w:rPr>
        <w:t>RED</w:t>
      </w:r>
      <w:r w:rsidRPr="00C41CE6">
        <w:t xml:space="preserve">.  This site was </w:t>
      </w:r>
      <w:r w:rsidR="00E76B5F">
        <w:t>R</w:t>
      </w:r>
      <w:r w:rsidRPr="00C41CE6">
        <w:t xml:space="preserve">efused planning consent in 2015 (15/02586/FUL).  An </w:t>
      </w:r>
      <w:r w:rsidR="00E76B5F">
        <w:t>A</w:t>
      </w:r>
      <w:r w:rsidRPr="00C41CE6">
        <w:t xml:space="preserve">ppeal was </w:t>
      </w:r>
      <w:r w:rsidR="00E76B5F">
        <w:t>D</w:t>
      </w:r>
      <w:r w:rsidRPr="00C41CE6">
        <w:t>ismissed in March 2016</w:t>
      </w:r>
      <w:r w:rsidR="00E76B5F">
        <w:t xml:space="preserve"> and a</w:t>
      </w:r>
      <w:r w:rsidRPr="00C41CE6">
        <w:t xml:space="preserve">nother application was </w:t>
      </w:r>
      <w:r w:rsidR="00E76B5F">
        <w:t>R</w:t>
      </w:r>
      <w:r w:rsidRPr="00C41CE6">
        <w:t>efused in 2017 (17/02338/FUL)</w:t>
      </w:r>
      <w:r w:rsidR="00E76B5F">
        <w:t>.</w:t>
      </w:r>
      <w:r>
        <w:t xml:space="preserve"> </w:t>
      </w:r>
      <w:r w:rsidRPr="00E76B5F">
        <w:rPr>
          <w:b/>
          <w:bCs/>
        </w:rPr>
        <w:t>The site should therefore be assesse</w:t>
      </w:r>
      <w:r w:rsidR="00E76B5F">
        <w:rPr>
          <w:b/>
          <w:bCs/>
        </w:rPr>
        <w:t>d</w:t>
      </w:r>
      <w:r w:rsidRPr="00E76B5F">
        <w:rPr>
          <w:b/>
          <w:bCs/>
        </w:rPr>
        <w:t xml:space="preserve"> as </w:t>
      </w:r>
      <w:r w:rsidRPr="00E76B5F">
        <w:rPr>
          <w:b/>
          <w:bCs/>
          <w:color w:val="FF0000"/>
        </w:rPr>
        <w:t>RED.</w:t>
      </w:r>
    </w:p>
    <w:p w14:paraId="18BE2519" w14:textId="77777777" w:rsidR="00E76B5F" w:rsidRDefault="005137BC" w:rsidP="005137BC">
      <w:pPr>
        <w:pStyle w:val="Default"/>
        <w:spacing w:after="200" w:line="288" w:lineRule="auto"/>
        <w:jc w:val="both"/>
        <w:rPr>
          <w:rFonts w:asciiTheme="minorHAnsi" w:eastAsia="Times New Roman" w:hAnsiTheme="minorHAnsi" w:cstheme="minorHAnsi"/>
          <w:b/>
          <w:color w:val="auto"/>
          <w:sz w:val="22"/>
          <w:szCs w:val="22"/>
          <w:lang w:val="en" w:eastAsia="en-GB"/>
        </w:rPr>
      </w:pPr>
      <w:r w:rsidRPr="009507BE">
        <w:rPr>
          <w:rFonts w:asciiTheme="minorHAnsi" w:eastAsia="Times New Roman" w:hAnsiTheme="minorHAnsi" w:cstheme="minorHAnsi"/>
          <w:b/>
          <w:color w:val="auto"/>
          <w:sz w:val="22"/>
          <w:szCs w:val="22"/>
          <w:lang w:val="en" w:eastAsia="en-GB"/>
        </w:rPr>
        <w:t>Agricultural Land</w:t>
      </w:r>
      <w:r w:rsidR="00E76B5F">
        <w:rPr>
          <w:rFonts w:asciiTheme="minorHAnsi" w:eastAsia="Times New Roman" w:hAnsiTheme="minorHAnsi" w:cstheme="minorHAnsi"/>
          <w:b/>
          <w:color w:val="auto"/>
          <w:sz w:val="22"/>
          <w:szCs w:val="22"/>
          <w:lang w:val="en" w:eastAsia="en-GB"/>
        </w:rPr>
        <w:t>:</w:t>
      </w:r>
    </w:p>
    <w:p w14:paraId="3B5DE9CF" w14:textId="76D6521F" w:rsidR="000D0BB1" w:rsidRDefault="005137BC" w:rsidP="000D0BB1">
      <w:pPr>
        <w:pStyle w:val="Default"/>
        <w:spacing w:after="200" w:line="288" w:lineRule="auto"/>
        <w:jc w:val="both"/>
        <w:rPr>
          <w:rFonts w:asciiTheme="minorHAnsi" w:hAnsiTheme="minorHAnsi" w:cstheme="minorBidi"/>
          <w:b/>
          <w:color w:val="auto"/>
          <w:sz w:val="22"/>
          <w:szCs w:val="22"/>
        </w:rPr>
      </w:pPr>
      <w:r w:rsidRPr="00C41CE6">
        <w:rPr>
          <w:rFonts w:asciiTheme="minorHAnsi" w:hAnsiTheme="minorHAnsi" w:cstheme="minorBidi"/>
          <w:color w:val="auto"/>
          <w:sz w:val="22"/>
          <w:szCs w:val="22"/>
        </w:rPr>
        <w:t xml:space="preserve">Table i (Major Planning Considerations) of the SEC says that Grade 2 agricultural land should be assessed as </w:t>
      </w:r>
      <w:r w:rsidRPr="00C9219B">
        <w:rPr>
          <w:rFonts w:asciiTheme="minorHAnsi" w:hAnsiTheme="minorHAnsi" w:cstheme="minorBidi"/>
          <w:color w:val="FF0000"/>
          <w:sz w:val="22"/>
          <w:szCs w:val="22"/>
        </w:rPr>
        <w:t>RED</w:t>
      </w:r>
      <w:r w:rsidRPr="00C41CE6">
        <w:rPr>
          <w:rFonts w:asciiTheme="minorHAnsi" w:hAnsiTheme="minorHAnsi" w:cstheme="minorBidi"/>
          <w:color w:val="auto"/>
          <w:sz w:val="22"/>
          <w:szCs w:val="22"/>
        </w:rPr>
        <w:t>.  Natural England’s Agricultural Land Classification Map</w:t>
      </w:r>
      <w:r>
        <w:rPr>
          <w:rFonts w:asciiTheme="minorHAnsi" w:hAnsiTheme="minorHAnsi" w:cstheme="minorBidi"/>
          <w:color w:val="auto"/>
          <w:sz w:val="22"/>
          <w:szCs w:val="22"/>
        </w:rPr>
        <w:t xml:space="preserve"> shows that this site is wholly on Grade 2 agricultural land and </w:t>
      </w:r>
      <w:r w:rsidRPr="00C9219B">
        <w:rPr>
          <w:rFonts w:asciiTheme="minorHAnsi" w:hAnsiTheme="minorHAnsi" w:cstheme="minorBidi"/>
          <w:b/>
          <w:bCs/>
          <w:color w:val="auto"/>
          <w:sz w:val="22"/>
          <w:szCs w:val="22"/>
        </w:rPr>
        <w:t>should therefore be assessed as</w:t>
      </w:r>
      <w:r w:rsidRPr="00C9219B">
        <w:rPr>
          <w:rFonts w:asciiTheme="minorHAnsi" w:hAnsiTheme="minorHAnsi" w:cstheme="minorBidi"/>
          <w:color w:val="FF0000"/>
          <w:sz w:val="22"/>
          <w:szCs w:val="22"/>
        </w:rPr>
        <w:t xml:space="preserve"> </w:t>
      </w:r>
      <w:r w:rsidRPr="00C9219B">
        <w:rPr>
          <w:rFonts w:asciiTheme="minorHAnsi" w:hAnsiTheme="minorHAnsi" w:cstheme="minorBidi"/>
          <w:b/>
          <w:color w:val="FF0000"/>
          <w:sz w:val="22"/>
          <w:szCs w:val="22"/>
        </w:rPr>
        <w:t>RED</w:t>
      </w:r>
      <w:r w:rsidRPr="00C41CE6">
        <w:rPr>
          <w:rFonts w:asciiTheme="minorHAnsi" w:hAnsiTheme="minorHAnsi" w:cstheme="minorBidi"/>
          <w:b/>
          <w:color w:val="auto"/>
          <w:sz w:val="22"/>
          <w:szCs w:val="22"/>
        </w:rPr>
        <w:t>.</w:t>
      </w:r>
    </w:p>
    <w:p w14:paraId="1719735D" w14:textId="466B7341" w:rsidR="00347C0F" w:rsidRDefault="00347C0F" w:rsidP="000D0BB1">
      <w:pPr>
        <w:pStyle w:val="Default"/>
        <w:spacing w:after="200" w:line="288" w:lineRule="auto"/>
        <w:jc w:val="both"/>
        <w:rPr>
          <w:rFonts w:asciiTheme="minorHAnsi" w:hAnsiTheme="minorHAnsi" w:cstheme="minorBidi"/>
          <w:b/>
          <w:color w:val="auto"/>
          <w:sz w:val="22"/>
          <w:szCs w:val="22"/>
        </w:rPr>
      </w:pPr>
    </w:p>
    <w:p w14:paraId="23314E7F" w14:textId="1D2FEB53" w:rsidR="00347C0F" w:rsidRPr="000D0BB1" w:rsidRDefault="00347C0F" w:rsidP="000D0BB1">
      <w:pPr>
        <w:pStyle w:val="Default"/>
        <w:spacing w:after="200" w:line="288" w:lineRule="auto"/>
        <w:jc w:val="both"/>
        <w:rPr>
          <w:rFonts w:asciiTheme="minorHAnsi" w:hAnsiTheme="minorHAnsi" w:cstheme="minorBidi"/>
          <w:b/>
          <w:color w:val="auto"/>
          <w:sz w:val="22"/>
          <w:szCs w:val="22"/>
        </w:rPr>
      </w:pPr>
      <w:r>
        <w:rPr>
          <w:rFonts w:asciiTheme="minorHAnsi" w:hAnsiTheme="minorHAnsi" w:cstheme="minorBidi"/>
          <w:b/>
          <w:color w:val="auto"/>
          <w:sz w:val="22"/>
          <w:szCs w:val="22"/>
        </w:rPr>
        <w:t>&lt;end&gt;</w:t>
      </w:r>
    </w:p>
    <w:sectPr w:rsidR="00347C0F" w:rsidRPr="000D0BB1" w:rsidSect="008025DE">
      <w:headerReference w:type="default" r:id="rId8"/>
      <w:footerReference w:type="default" r:id="rId9"/>
      <w:pgSz w:w="11906" w:h="16838"/>
      <w:pgMar w:top="709" w:right="991" w:bottom="993" w:left="993"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2A57A" w14:textId="77777777" w:rsidR="00CF0E55" w:rsidRDefault="00CF0E55" w:rsidP="00E4512C">
      <w:pPr>
        <w:spacing w:after="0" w:line="240" w:lineRule="auto"/>
      </w:pPr>
      <w:r>
        <w:separator/>
      </w:r>
    </w:p>
  </w:endnote>
  <w:endnote w:type="continuationSeparator" w:id="0">
    <w:p w14:paraId="7EDB8794" w14:textId="77777777" w:rsidR="00CF0E55" w:rsidRDefault="00CF0E55" w:rsidP="00E4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5ff28">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364806"/>
      <w:docPartObj>
        <w:docPartGallery w:val="Page Numbers (Bottom of Page)"/>
        <w:docPartUnique/>
      </w:docPartObj>
    </w:sdtPr>
    <w:sdtEndPr>
      <w:rPr>
        <w:noProof/>
      </w:rPr>
    </w:sdtEndPr>
    <w:sdtContent>
      <w:p w14:paraId="0CACC6C2" w14:textId="31E710BD" w:rsidR="000F4114" w:rsidRDefault="000F4114">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D11169">
          <w:rPr>
            <w:noProof/>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A4B01" w14:textId="77777777" w:rsidR="00CF0E55" w:rsidRDefault="00CF0E55" w:rsidP="00E4512C">
      <w:pPr>
        <w:spacing w:after="0" w:line="240" w:lineRule="auto"/>
      </w:pPr>
      <w:r>
        <w:separator/>
      </w:r>
    </w:p>
  </w:footnote>
  <w:footnote w:type="continuationSeparator" w:id="0">
    <w:p w14:paraId="1B88DBB4" w14:textId="77777777" w:rsidR="00CF0E55" w:rsidRDefault="00CF0E55" w:rsidP="00E4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B009" w14:textId="251F0334" w:rsidR="000F4114" w:rsidRPr="00FA71BA" w:rsidRDefault="000F4114">
    <w:pPr>
      <w:pStyle w:val="Header"/>
      <w:rPr>
        <w:sz w:val="18"/>
        <w:szCs w:val="18"/>
      </w:rPr>
    </w:pPr>
    <w:r w:rsidRPr="00FA71BA">
      <w:rPr>
        <w:sz w:val="18"/>
        <w:szCs w:val="18"/>
      </w:rPr>
      <w:t>Welford-on-Avon Parish Council – Site Allocation</w:t>
    </w:r>
    <w:r w:rsidR="0070164E">
      <w:rPr>
        <w:sz w:val="18"/>
        <w:szCs w:val="18"/>
      </w:rPr>
      <w:t>s</w:t>
    </w:r>
    <w:r w:rsidRPr="00FA71BA">
      <w:rPr>
        <w:sz w:val="18"/>
        <w:szCs w:val="18"/>
      </w:rPr>
      <w:t xml:space="preserve"> Plan Response</w:t>
    </w:r>
    <w:r w:rsidR="00D11169" w:rsidRPr="00D11169">
      <w:rPr>
        <w:color w:val="FF0000"/>
        <w:sz w:val="18"/>
        <w:szCs w:val="18"/>
      </w:rPr>
      <w:t xml:space="preserve"> </w:t>
    </w:r>
    <w:r w:rsidR="00994BAF">
      <w:rPr>
        <w:color w:val="FF0000"/>
        <w:sz w:val="18"/>
        <w:szCs w:val="18"/>
      </w:rPr>
      <w:t>FINAL</w:t>
    </w:r>
    <w:r w:rsidRPr="00FA71BA">
      <w:rPr>
        <w:sz w:val="18"/>
        <w:szCs w:val="18"/>
      </w:rPr>
      <w:tab/>
      <w:t>1</w:t>
    </w:r>
    <w:r w:rsidR="00994BAF">
      <w:rPr>
        <w:sz w:val="18"/>
        <w:szCs w:val="18"/>
      </w:rPr>
      <w:t>8</w:t>
    </w:r>
    <w:r w:rsidRPr="00FA71BA">
      <w:rPr>
        <w:sz w:val="18"/>
        <w:szCs w:val="18"/>
        <w:vertAlign w:val="superscript"/>
      </w:rPr>
      <w:t>th</w:t>
    </w:r>
    <w:r w:rsidRPr="00FA71BA">
      <w:rPr>
        <w:sz w:val="18"/>
        <w:szCs w:val="18"/>
      </w:rPr>
      <w:t xml:space="preserve"> Sept 2019</w:t>
    </w:r>
  </w:p>
  <w:p w14:paraId="7E5EC996" w14:textId="77777777" w:rsidR="000F4114" w:rsidRDefault="000F4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663"/>
    <w:multiLevelType w:val="hybridMultilevel"/>
    <w:tmpl w:val="955C96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97A4B"/>
    <w:multiLevelType w:val="hybridMultilevel"/>
    <w:tmpl w:val="A558936A"/>
    <w:lvl w:ilvl="0" w:tplc="B86C895A">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9136A"/>
    <w:multiLevelType w:val="multilevel"/>
    <w:tmpl w:val="DBD8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30AED"/>
    <w:multiLevelType w:val="hybridMultilevel"/>
    <w:tmpl w:val="CC7A1F0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B65A1"/>
    <w:multiLevelType w:val="hybridMultilevel"/>
    <w:tmpl w:val="2BCE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3B31"/>
    <w:multiLevelType w:val="hybridMultilevel"/>
    <w:tmpl w:val="316EAEF8"/>
    <w:lvl w:ilvl="0" w:tplc="1136A98E">
      <w:start w:val="2"/>
      <w:numFmt w:val="bullet"/>
      <w:lvlText w:val=""/>
      <w:lvlJc w:val="left"/>
      <w:pPr>
        <w:ind w:left="1800" w:hanging="360"/>
      </w:pPr>
      <w:rPr>
        <w:rFonts w:ascii="Wingdings" w:eastAsia="Times New Roman" w:hAnsi="Wingdings" w:cstheme="min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AC22082"/>
    <w:multiLevelType w:val="hybridMultilevel"/>
    <w:tmpl w:val="0C06ADEE"/>
    <w:lvl w:ilvl="0" w:tplc="B86C895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5031D2"/>
    <w:multiLevelType w:val="multilevel"/>
    <w:tmpl w:val="0FB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63EE7"/>
    <w:multiLevelType w:val="hybridMultilevel"/>
    <w:tmpl w:val="E9B2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B6B86"/>
    <w:multiLevelType w:val="hybridMultilevel"/>
    <w:tmpl w:val="7B4C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B6239"/>
    <w:multiLevelType w:val="hybridMultilevel"/>
    <w:tmpl w:val="C34A9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287453"/>
    <w:multiLevelType w:val="multilevel"/>
    <w:tmpl w:val="D61A6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9477F7"/>
    <w:multiLevelType w:val="hybridMultilevel"/>
    <w:tmpl w:val="43CE9EAC"/>
    <w:lvl w:ilvl="0" w:tplc="B86C895A">
      <w:start w:val="4"/>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9"/>
  </w:num>
  <w:num w:numId="2">
    <w:abstractNumId w:val="2"/>
  </w:num>
  <w:num w:numId="3">
    <w:abstractNumId w:val="7"/>
  </w:num>
  <w:num w:numId="4">
    <w:abstractNumId w:val="0"/>
  </w:num>
  <w:num w:numId="5">
    <w:abstractNumId w:val="6"/>
  </w:num>
  <w:num w:numId="6">
    <w:abstractNumId w:val="11"/>
  </w:num>
  <w:num w:numId="7">
    <w:abstractNumId w:val="12"/>
  </w:num>
  <w:num w:numId="8">
    <w:abstractNumId w:val="1"/>
  </w:num>
  <w:num w:numId="9">
    <w:abstractNumId w:val="3"/>
  </w:num>
  <w:num w:numId="10">
    <w:abstractNumId w:val="10"/>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BC"/>
    <w:rsid w:val="00004489"/>
    <w:rsid w:val="000663C5"/>
    <w:rsid w:val="000D0BB1"/>
    <w:rsid w:val="000D1189"/>
    <w:rsid w:val="000F4114"/>
    <w:rsid w:val="0017497C"/>
    <w:rsid w:val="002173E5"/>
    <w:rsid w:val="00237D58"/>
    <w:rsid w:val="00254F4E"/>
    <w:rsid w:val="002C50C9"/>
    <w:rsid w:val="00347C0F"/>
    <w:rsid w:val="003E1375"/>
    <w:rsid w:val="003F2745"/>
    <w:rsid w:val="003F6474"/>
    <w:rsid w:val="00413968"/>
    <w:rsid w:val="0048016C"/>
    <w:rsid w:val="00480E27"/>
    <w:rsid w:val="004C561E"/>
    <w:rsid w:val="005137BC"/>
    <w:rsid w:val="0051716F"/>
    <w:rsid w:val="005D0B52"/>
    <w:rsid w:val="00603410"/>
    <w:rsid w:val="00654B37"/>
    <w:rsid w:val="00660EB4"/>
    <w:rsid w:val="0070164E"/>
    <w:rsid w:val="00773A6E"/>
    <w:rsid w:val="007F0B97"/>
    <w:rsid w:val="007F644D"/>
    <w:rsid w:val="008025DE"/>
    <w:rsid w:val="00892CB8"/>
    <w:rsid w:val="008A13E5"/>
    <w:rsid w:val="008E0260"/>
    <w:rsid w:val="00994BAF"/>
    <w:rsid w:val="00A4636F"/>
    <w:rsid w:val="00AA59C0"/>
    <w:rsid w:val="00B44452"/>
    <w:rsid w:val="00B44746"/>
    <w:rsid w:val="00C45411"/>
    <w:rsid w:val="00C8507E"/>
    <w:rsid w:val="00C9219B"/>
    <w:rsid w:val="00CC0028"/>
    <w:rsid w:val="00CD741D"/>
    <w:rsid w:val="00CE7123"/>
    <w:rsid w:val="00CF0E55"/>
    <w:rsid w:val="00D11169"/>
    <w:rsid w:val="00D37407"/>
    <w:rsid w:val="00D61596"/>
    <w:rsid w:val="00D75684"/>
    <w:rsid w:val="00DA3D08"/>
    <w:rsid w:val="00E33F28"/>
    <w:rsid w:val="00E4512C"/>
    <w:rsid w:val="00E7348F"/>
    <w:rsid w:val="00E76B5F"/>
    <w:rsid w:val="00E86C07"/>
    <w:rsid w:val="00F5403C"/>
    <w:rsid w:val="00F7230A"/>
    <w:rsid w:val="00FA71BA"/>
    <w:rsid w:val="00FE4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D4550"/>
  <w15:chartTrackingRefBased/>
  <w15:docId w15:val="{5534CF7C-2DF7-4C4B-805D-A6457EF4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137BC"/>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7BC"/>
    <w:pPr>
      <w:spacing w:after="0" w:line="240" w:lineRule="auto"/>
      <w:ind w:left="720"/>
      <w:contextualSpacing/>
      <w:jc w:val="both"/>
    </w:pPr>
    <w:rPr>
      <w:rFonts w:ascii="Times New Roman" w:eastAsia="Times New Roman" w:hAnsi="Times New Roman" w:cs="Times New Roman"/>
      <w:sz w:val="20"/>
      <w:szCs w:val="20"/>
      <w:lang w:eastAsia="en-GB"/>
    </w:rPr>
  </w:style>
  <w:style w:type="paragraph" w:customStyle="1" w:styleId="Default">
    <w:name w:val="Default"/>
    <w:rsid w:val="005137BC"/>
    <w:pPr>
      <w:autoSpaceDE w:val="0"/>
      <w:autoSpaceDN w:val="0"/>
      <w:adjustRightInd w:val="0"/>
      <w:spacing w:after="0" w:line="240" w:lineRule="auto"/>
    </w:pPr>
    <w:rPr>
      <w:rFonts w:ascii="Arial" w:hAnsi="Arial" w:cs="Arial"/>
      <w:color w:val="000000"/>
      <w:sz w:val="24"/>
      <w:szCs w:val="24"/>
    </w:rPr>
  </w:style>
  <w:style w:type="paragraph" w:customStyle="1" w:styleId="yiv8428220429msonormal">
    <w:name w:val="yiv8428220429msonormal"/>
    <w:basedOn w:val="Normal"/>
    <w:rsid w:val="0051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137BC"/>
    <w:rPr>
      <w:color w:val="0000FF"/>
      <w:u w:val="single"/>
    </w:rPr>
  </w:style>
  <w:style w:type="paragraph" w:customStyle="1" w:styleId="yiv8428220429msolistparagraph">
    <w:name w:val="yiv8428220429msolistparagraph"/>
    <w:basedOn w:val="Normal"/>
    <w:rsid w:val="005137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45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12C"/>
  </w:style>
  <w:style w:type="paragraph" w:styleId="Footer">
    <w:name w:val="footer"/>
    <w:basedOn w:val="Normal"/>
    <w:link w:val="FooterChar"/>
    <w:uiPriority w:val="99"/>
    <w:unhideWhenUsed/>
    <w:rsid w:val="00E45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12C"/>
  </w:style>
  <w:style w:type="character" w:styleId="FollowedHyperlink">
    <w:name w:val="FollowedHyperlink"/>
    <w:basedOn w:val="DefaultParagraphFont"/>
    <w:uiPriority w:val="99"/>
    <w:semiHidden/>
    <w:unhideWhenUsed/>
    <w:rsid w:val="003F2745"/>
    <w:rPr>
      <w:color w:val="954F72" w:themeColor="followedHyperlink"/>
      <w:u w:val="single"/>
    </w:rPr>
  </w:style>
  <w:style w:type="paragraph" w:styleId="BalloonText">
    <w:name w:val="Balloon Text"/>
    <w:basedOn w:val="Normal"/>
    <w:link w:val="BalloonTextChar"/>
    <w:uiPriority w:val="99"/>
    <w:semiHidden/>
    <w:unhideWhenUsed/>
    <w:rsid w:val="00802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780">
      <w:bodyDiv w:val="1"/>
      <w:marLeft w:val="0"/>
      <w:marRight w:val="0"/>
      <w:marTop w:val="0"/>
      <w:marBottom w:val="0"/>
      <w:divBdr>
        <w:top w:val="none" w:sz="0" w:space="0" w:color="auto"/>
        <w:left w:val="none" w:sz="0" w:space="0" w:color="auto"/>
        <w:bottom w:val="none" w:sz="0" w:space="0" w:color="auto"/>
        <w:right w:val="none" w:sz="0" w:space="0" w:color="auto"/>
      </w:divBdr>
    </w:div>
    <w:div w:id="6904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ratford.gov.uk/doc/205866/name/ED12%20Focused%20Consultation%202011%202031%20Housing%20Requirement%20and%20Strategic%20Site%20Options%20Feb%202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Lowe</dc:creator>
  <cp:keywords/>
  <dc:description/>
  <cp:lastModifiedBy>Vanessa Lowe</cp:lastModifiedBy>
  <cp:revision>2</cp:revision>
  <cp:lastPrinted>2019-09-12T12:27:00Z</cp:lastPrinted>
  <dcterms:created xsi:type="dcterms:W3CDTF">2019-09-18T14:30:00Z</dcterms:created>
  <dcterms:modified xsi:type="dcterms:W3CDTF">2019-09-18T14:30:00Z</dcterms:modified>
</cp:coreProperties>
</file>